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30A" w:rsidRDefault="0017630A" w:rsidP="0017630A">
      <w:pPr>
        <w:pStyle w:val="Title"/>
        <w:ind w:hanging="10"/>
        <w:rPr>
          <w:rFonts w:cs="SKR HEAD1"/>
          <w:sz w:val="28"/>
          <w:szCs w:val="28"/>
        </w:rPr>
      </w:pPr>
      <w:r>
        <w:rPr>
          <w:rFonts w:cs="SKR HEAD1" w:hint="cs"/>
          <w:sz w:val="28"/>
          <w:szCs w:val="28"/>
          <w:rtl/>
        </w:rPr>
        <w:t>مدى سلطة القاضي في الإثبات بالشهـادة بين الإطلاق والتقييد</w:t>
      </w:r>
    </w:p>
    <w:p w:rsidR="0017630A" w:rsidRDefault="0017630A" w:rsidP="0017630A">
      <w:pPr>
        <w:pStyle w:val="Title"/>
        <w:ind w:hanging="10"/>
        <w:rPr>
          <w:rFonts w:cs="SKR HEAD1" w:hint="cs"/>
          <w:sz w:val="28"/>
          <w:szCs w:val="28"/>
          <w:rtl/>
          <w:lang w:bidi="ar-JO"/>
        </w:rPr>
      </w:pPr>
      <w:r>
        <w:rPr>
          <w:rFonts w:cs="SKR HEAD1" w:hint="cs"/>
          <w:sz w:val="28"/>
          <w:szCs w:val="28"/>
          <w:rtl/>
          <w:lang w:bidi="ar-JO"/>
        </w:rPr>
        <w:t>دراسة في القانون الأردني والمقارن</w:t>
      </w:r>
    </w:p>
    <w:p w:rsidR="0017630A" w:rsidRDefault="0017630A" w:rsidP="0017630A">
      <w:pPr>
        <w:pStyle w:val="Title"/>
        <w:tabs>
          <w:tab w:val="left" w:pos="1668"/>
          <w:tab w:val="center" w:pos="3566"/>
        </w:tabs>
        <w:bidi w:val="0"/>
        <w:spacing w:before="120"/>
        <w:rPr>
          <w:rFonts w:cs="SKR HEAD1"/>
          <w:sz w:val="24"/>
          <w:szCs w:val="24"/>
          <w:lang w:bidi="ar-JO"/>
        </w:rPr>
      </w:pPr>
      <w:r>
        <w:rPr>
          <w:rFonts w:cs="Naskh News"/>
          <w:b/>
          <w:bCs/>
          <w:noProof w:val="0"/>
          <w:sz w:val="24"/>
          <w:szCs w:val="24"/>
          <w:lang w:eastAsia="zh-CN"/>
        </w:rPr>
        <w:t>The Courts Discretionary Role in Testimony</w:t>
      </w:r>
    </w:p>
    <w:p w:rsidR="0017630A" w:rsidRDefault="0017630A" w:rsidP="0017630A">
      <w:pPr>
        <w:pStyle w:val="Title"/>
        <w:spacing w:before="120"/>
        <w:ind w:hanging="10"/>
        <w:rPr>
          <w:rFonts w:cs="Naskh News" w:hint="cs"/>
          <w:b/>
          <w:bCs/>
          <w:color w:val="FFFFFF"/>
          <w:sz w:val="22"/>
          <w:szCs w:val="24"/>
          <w:rtl/>
          <w:lang w:bidi="ar-JO"/>
        </w:rPr>
      </w:pPr>
      <w:r>
        <w:rPr>
          <w:rStyle w:val="FootnoteReference"/>
          <w:rFonts w:cs="Naskh News"/>
          <w:color w:val="FFFFFF"/>
          <w:sz w:val="22"/>
          <w:szCs w:val="24"/>
          <w:lang w:bidi="ar-JO"/>
        </w:rPr>
        <w:footnoteReference w:customMarkFollows="1" w:id="1"/>
        <w:sym w:font="Symbol" w:char="F0D3"/>
      </w:r>
    </w:p>
    <w:p w:rsidR="0017630A" w:rsidRDefault="0017630A" w:rsidP="0017630A">
      <w:pPr>
        <w:ind w:hanging="11"/>
        <w:jc w:val="center"/>
        <w:rPr>
          <w:rFonts w:cs="Naskh News" w:hint="cs"/>
          <w:sz w:val="22"/>
          <w:szCs w:val="24"/>
          <w:rtl/>
          <w:lang w:bidi="ar-JO"/>
        </w:rPr>
      </w:pPr>
      <w:r>
        <w:rPr>
          <w:rFonts w:cs="Naskh News" w:hint="cs"/>
          <w:b/>
          <w:bCs/>
          <w:sz w:val="22"/>
          <w:szCs w:val="24"/>
          <w:rtl/>
        </w:rPr>
        <w:t>علاء الدين عبابنة</w:t>
      </w:r>
      <w:r>
        <w:rPr>
          <w:rStyle w:val="FootnoteReference"/>
          <w:rFonts w:cs="Naskh News" w:hint="cs"/>
          <w:b/>
          <w:bCs/>
          <w:sz w:val="22"/>
          <w:szCs w:val="24"/>
          <w:rtl/>
          <w:lang w:bidi="ar-JO"/>
        </w:rPr>
        <w:t xml:space="preserve"> </w:t>
      </w:r>
      <w:r>
        <w:rPr>
          <w:rStyle w:val="FootnoteReference"/>
          <w:rFonts w:cs="Naskh News" w:hint="cs"/>
          <w:b/>
          <w:bCs/>
          <w:sz w:val="22"/>
          <w:szCs w:val="24"/>
          <w:rtl/>
          <w:lang w:bidi="ar-JO"/>
        </w:rPr>
        <w:footnoteReference w:customMarkFollows="1" w:id="2"/>
        <w:t>*</w:t>
      </w:r>
    </w:p>
    <w:p w:rsidR="0017630A" w:rsidRDefault="0017630A" w:rsidP="0017630A">
      <w:pPr>
        <w:spacing w:before="120"/>
        <w:ind w:hanging="10"/>
        <w:jc w:val="both"/>
        <w:rPr>
          <w:rFonts w:cs="Naskh News" w:hint="cs"/>
          <w:b/>
          <w:bCs/>
          <w:sz w:val="18"/>
          <w:szCs w:val="18"/>
          <w:rtl/>
        </w:rPr>
      </w:pPr>
    </w:p>
    <w:p w:rsidR="0017630A" w:rsidRDefault="0017630A" w:rsidP="0017630A">
      <w:pPr>
        <w:pBdr>
          <w:top w:val="single" w:sz="4" w:space="1" w:color="auto"/>
          <w:bottom w:val="single" w:sz="4" w:space="1" w:color="auto"/>
        </w:pBdr>
        <w:tabs>
          <w:tab w:val="right" w:pos="7143"/>
        </w:tabs>
        <w:ind w:left="11" w:right="-11" w:hanging="11"/>
        <w:jc w:val="both"/>
        <w:rPr>
          <w:rFonts w:cs="Naskh News" w:hint="cs"/>
          <w:b/>
          <w:bCs/>
          <w:sz w:val="18"/>
          <w:szCs w:val="18"/>
          <w:rtl/>
        </w:rPr>
      </w:pPr>
      <w:r>
        <w:rPr>
          <w:rFonts w:cs="Naskh News" w:hint="cs"/>
          <w:b/>
          <w:bCs/>
          <w:sz w:val="18"/>
          <w:szCs w:val="18"/>
          <w:rtl/>
        </w:rPr>
        <w:t>تاريخ الاستلام</w:t>
      </w:r>
      <w:r>
        <w:rPr>
          <w:rFonts w:cs="Naskh News" w:hint="cs"/>
          <w:b/>
          <w:bCs/>
          <w:sz w:val="18"/>
          <w:szCs w:val="18"/>
          <w:rtl/>
          <w:lang w:bidi="ar-JO"/>
        </w:rPr>
        <w:t xml:space="preserve"> </w:t>
      </w:r>
      <w:r>
        <w:rPr>
          <w:rFonts w:cs="Naskh News" w:hint="cs"/>
          <w:b/>
          <w:bCs/>
          <w:sz w:val="18"/>
          <w:szCs w:val="18"/>
          <w:rtl/>
        </w:rPr>
        <w:t>11/9/2017</w:t>
      </w:r>
      <w:r>
        <w:rPr>
          <w:rFonts w:cs="Naskh News" w:hint="cs"/>
          <w:b/>
          <w:bCs/>
          <w:sz w:val="18"/>
          <w:szCs w:val="18"/>
          <w:rtl/>
          <w:lang w:bidi="ar-JO"/>
        </w:rPr>
        <w:t xml:space="preserve"> </w:t>
      </w:r>
      <w:r>
        <w:rPr>
          <w:rFonts w:cs="Naskh News" w:hint="cs"/>
          <w:b/>
          <w:bCs/>
          <w:sz w:val="18"/>
          <w:szCs w:val="18"/>
          <w:rtl/>
          <w:lang w:bidi="ar-JO"/>
        </w:rPr>
        <w:tab/>
        <w:t xml:space="preserve">تاريخ القبول </w:t>
      </w:r>
      <w:r>
        <w:rPr>
          <w:rFonts w:cs="Naskh News" w:hint="cs"/>
          <w:b/>
          <w:bCs/>
          <w:sz w:val="18"/>
          <w:szCs w:val="18"/>
          <w:rtl/>
        </w:rPr>
        <w:t>18/10/2017</w:t>
      </w:r>
    </w:p>
    <w:p w:rsidR="0017630A" w:rsidRDefault="0017630A" w:rsidP="0017630A">
      <w:pPr>
        <w:spacing w:before="120"/>
        <w:jc w:val="lowKashida"/>
        <w:rPr>
          <w:rFonts w:cs="Naskh News" w:hint="cs"/>
          <w:b/>
          <w:bCs/>
          <w:noProof w:val="0"/>
          <w:sz w:val="22"/>
          <w:szCs w:val="24"/>
          <w:rtl/>
          <w:lang w:eastAsia="zh-CN"/>
        </w:rPr>
      </w:pPr>
    </w:p>
    <w:p w:rsidR="0017630A" w:rsidRDefault="0017630A" w:rsidP="0017630A">
      <w:pPr>
        <w:jc w:val="lowKashida"/>
        <w:rPr>
          <w:rFonts w:cs="Naskh News" w:hint="cs"/>
          <w:b/>
          <w:bCs/>
          <w:noProof w:val="0"/>
          <w:sz w:val="22"/>
          <w:szCs w:val="24"/>
          <w:rtl/>
          <w:lang w:eastAsia="zh-CN"/>
        </w:rPr>
      </w:pPr>
      <w:r>
        <w:rPr>
          <w:rFonts w:cs="Naskh News" w:hint="cs"/>
          <w:b/>
          <w:bCs/>
          <w:noProof w:val="0"/>
          <w:sz w:val="22"/>
          <w:szCs w:val="24"/>
          <w:rtl/>
          <w:lang w:eastAsia="zh-CN"/>
        </w:rPr>
        <w:t>ملخص</w:t>
      </w:r>
    </w:p>
    <w:p w:rsidR="0017630A" w:rsidRDefault="0017630A" w:rsidP="0017630A">
      <w:pPr>
        <w:spacing w:before="120"/>
        <w:ind w:firstLine="397"/>
        <w:jc w:val="lowKashida"/>
        <w:rPr>
          <w:rFonts w:cs="Naskh News" w:hint="cs"/>
          <w:szCs w:val="22"/>
          <w:rtl/>
        </w:rPr>
      </w:pPr>
      <w:r>
        <w:rPr>
          <w:rFonts w:cs="Naskh News" w:hint="cs"/>
          <w:szCs w:val="22"/>
          <w:rtl/>
        </w:rPr>
        <w:t>لا شك أن الإثبات بالشهادة يشكل مخرجا للمشرع، لتجنب نعته بالتشدد وعدم المرونة، إذ جاءت اليمين الحاسمة والإقرار القضائي وحتى الأدلة الكتابية كامتداد للنظام المقيد في الإثبات، فلم تمنح القاضي السلطة التقديرية الواسعة حول الإثبات من خلالها.</w:t>
      </w:r>
    </w:p>
    <w:p w:rsidR="0017630A" w:rsidRDefault="0017630A" w:rsidP="0017630A">
      <w:pPr>
        <w:spacing w:before="120"/>
        <w:ind w:firstLine="397"/>
        <w:jc w:val="lowKashida"/>
        <w:rPr>
          <w:rFonts w:cs="Naskh News" w:hint="cs"/>
          <w:szCs w:val="22"/>
          <w:rtl/>
        </w:rPr>
      </w:pPr>
      <w:r>
        <w:rPr>
          <w:rFonts w:cs="Naskh News" w:hint="cs"/>
          <w:szCs w:val="22"/>
          <w:rtl/>
        </w:rPr>
        <w:t xml:space="preserve">وعلى النقيض تماما جاء المشرع بشهادة الشهود كوسيلة إثبات، فتمتع القاضي في مجال الإثبات بها بسلطات تقديرية واسعة، اختلف مداها من تشريع لآخر بحسب مبدأ الإثبات الذي اعتنقه ذات التشريع، واستنادا على ذلك جرى تقسيم هذا البحث إلى ثلاثة مباحث، طرح أولها سلطة القاضي حول طلب الإثبات بالشهادة، والثاني سلطة القاضي حول إمكانية الأمر بالإثبات بالشهادة من تلقاء نفسه، أما الثالث حول سلطة القاضي في تقييم شهادة الشهادة، وذلك في التشريع الأردني مقارنة ببعض التشريعات العربية والأجنبية، مستعينا في النصوص القانونية، ومدعما في التطبيقات القضائية لارتباطها الوثيق بهذه الدراسة، وقد توصلت الدراسة إلى عدد من النتائج والتوصيات تمثلت ببيان الحدود الفاصلة بين سلطة القاضي التقديرية والمطلقة ومحاولة بيان فكرة الرقابة الباهته التي يمكن لها تجنب عيوب الإطلاق. </w:t>
      </w:r>
    </w:p>
    <w:p w:rsidR="0017630A" w:rsidRDefault="0017630A" w:rsidP="0017630A">
      <w:pPr>
        <w:spacing w:before="120"/>
        <w:jc w:val="lowKashida"/>
        <w:rPr>
          <w:rFonts w:cs="Naskh News" w:hint="cs"/>
          <w:noProof w:val="0"/>
          <w:szCs w:val="22"/>
          <w:rtl/>
          <w:lang w:eastAsia="zh-CN" w:bidi="ar-QA"/>
        </w:rPr>
      </w:pPr>
      <w:r>
        <w:rPr>
          <w:rFonts w:cs="Naskh News" w:hint="cs"/>
          <w:szCs w:val="22"/>
          <w:rtl/>
        </w:rPr>
        <w:t>الكلمات المفتاحية: القانون الأردني، الشهادة، الإثبات، سلطة القاضي التقديرية، البينة</w:t>
      </w:r>
    </w:p>
    <w:p w:rsidR="0017630A" w:rsidRDefault="0017630A" w:rsidP="0017630A">
      <w:pPr>
        <w:pStyle w:val="ListParagraph"/>
        <w:spacing w:before="60" w:after="0" w:line="240" w:lineRule="auto"/>
        <w:jc w:val="both"/>
        <w:rPr>
          <w:rFonts w:ascii="Times New Roman" w:hAnsi="Times New Roman" w:cs="Naskh News" w:hint="cs"/>
          <w:szCs w:val="24"/>
          <w:rtl/>
        </w:rPr>
      </w:pPr>
    </w:p>
    <w:p w:rsidR="0017630A" w:rsidRDefault="0017630A" w:rsidP="0017630A">
      <w:pPr>
        <w:pStyle w:val="BodyText"/>
        <w:spacing w:before="0"/>
        <w:ind w:firstLine="397"/>
        <w:jc w:val="right"/>
        <w:rPr>
          <w:rFonts w:cs="Naskh News" w:hint="cs"/>
          <w:b/>
          <w:bCs/>
          <w:sz w:val="22"/>
          <w:szCs w:val="26"/>
          <w:rtl/>
        </w:rPr>
      </w:pPr>
      <w:r>
        <w:rPr>
          <w:rFonts w:cs="Naskh News"/>
          <w:b/>
          <w:bCs/>
          <w:sz w:val="22"/>
          <w:szCs w:val="26"/>
        </w:rPr>
        <w:br w:type="page"/>
      </w:r>
      <w:r>
        <w:rPr>
          <w:rFonts w:cs="Naskh News"/>
          <w:b/>
          <w:bCs/>
          <w:sz w:val="22"/>
          <w:szCs w:val="26"/>
        </w:rPr>
        <w:lastRenderedPageBreak/>
        <w:t>Abstract</w:t>
      </w:r>
    </w:p>
    <w:p w:rsidR="0017630A" w:rsidRDefault="0017630A" w:rsidP="0017630A">
      <w:pPr>
        <w:bidi w:val="0"/>
        <w:spacing w:before="120"/>
        <w:ind w:firstLine="397"/>
        <w:jc w:val="lowKashida"/>
        <w:rPr>
          <w:rFonts w:cs="Naskh News"/>
          <w:szCs w:val="22"/>
          <w:lang w:bidi="ar-JO"/>
        </w:rPr>
      </w:pPr>
      <w:r>
        <w:rPr>
          <w:rFonts w:cs="Naskh News"/>
          <w:szCs w:val="22"/>
          <w:lang w:bidi="ar-JO"/>
        </w:rPr>
        <w:t xml:space="preserve">There is no doubt that evidence by testimony came as a sign that legislator wants to give judges full power to weigh the evidence, unlike the situation in other kind of evidences where the judge is restricted upon a kind of evidence. </w:t>
      </w:r>
    </w:p>
    <w:p w:rsidR="0017630A" w:rsidRDefault="0017630A" w:rsidP="0017630A">
      <w:pPr>
        <w:bidi w:val="0"/>
        <w:spacing w:before="120"/>
        <w:ind w:firstLine="397"/>
        <w:jc w:val="lowKashida"/>
        <w:rPr>
          <w:rFonts w:cs="Naskh News"/>
          <w:szCs w:val="22"/>
          <w:lang w:bidi="ar-JO"/>
        </w:rPr>
      </w:pPr>
      <w:r>
        <w:rPr>
          <w:rFonts w:cs="Naskh News"/>
          <w:szCs w:val="22"/>
          <w:lang w:bidi="ar-JO"/>
        </w:rPr>
        <w:t>This article shows that even the law has given wide authority to the judge upon testimony; the extent of this authority differs from legislation to another in different countries according to the adopted principle of evidence. Accordingly, this article has been divided into three sections; the first examines the judge's authority upon evidence by testimony, while the second examine the judge's power to govern the case by testimony without demand from litigants. The third one evaluates such authority in the Jordanian law and other comparative laws such as Arab and foreign laws.</w:t>
      </w:r>
    </w:p>
    <w:p w:rsidR="0017630A" w:rsidRDefault="0017630A" w:rsidP="0017630A">
      <w:pPr>
        <w:bidi w:val="0"/>
        <w:spacing w:before="120"/>
        <w:jc w:val="lowKashida"/>
        <w:rPr>
          <w:rFonts w:cs="Naskh News"/>
          <w:noProof w:val="0"/>
          <w:szCs w:val="22"/>
          <w:lang w:val="en" w:eastAsia="zh-CN"/>
        </w:rPr>
      </w:pPr>
      <w:r>
        <w:rPr>
          <w:rFonts w:cs="Naskh News"/>
          <w:b/>
          <w:bCs/>
          <w:szCs w:val="22"/>
          <w:lang w:bidi="ar-JO"/>
        </w:rPr>
        <w:t>Keywords</w:t>
      </w:r>
      <w:r>
        <w:rPr>
          <w:rFonts w:cs="Naskh News"/>
          <w:szCs w:val="22"/>
          <w:lang w:bidi="ar-JO"/>
        </w:rPr>
        <w:t>: Jordan, law, court discretion, testimony, evidence.</w:t>
      </w:r>
    </w:p>
    <w:p w:rsidR="0099099B" w:rsidRPr="0017630A" w:rsidRDefault="0099099B" w:rsidP="0017630A">
      <w:pPr>
        <w:rPr>
          <w:lang w:val="en"/>
        </w:rPr>
      </w:pPr>
      <w:bookmarkStart w:id="0" w:name="_GoBack"/>
      <w:bookmarkEnd w:id="0"/>
    </w:p>
    <w:sectPr w:rsidR="0099099B" w:rsidRPr="001763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1E2" w:rsidRDefault="001321E2" w:rsidP="00F9594B">
      <w:r>
        <w:separator/>
      </w:r>
    </w:p>
  </w:endnote>
  <w:endnote w:type="continuationSeparator" w:id="0">
    <w:p w:rsidR="001321E2" w:rsidRDefault="001321E2" w:rsidP="00F9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Naskh News">
    <w:altName w:val="Fixed Kofi Bold"/>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1E2" w:rsidRDefault="001321E2" w:rsidP="00F9594B">
      <w:r>
        <w:separator/>
      </w:r>
    </w:p>
  </w:footnote>
  <w:footnote w:type="continuationSeparator" w:id="0">
    <w:p w:rsidR="001321E2" w:rsidRDefault="001321E2" w:rsidP="00F9594B">
      <w:r>
        <w:continuationSeparator/>
      </w:r>
    </w:p>
  </w:footnote>
  <w:footnote w:id="1">
    <w:p w:rsidR="0017630A" w:rsidRDefault="0017630A" w:rsidP="0017630A">
      <w:pPr>
        <w:pStyle w:val="FootnoteText"/>
        <w:ind w:left="197" w:hanging="197"/>
        <w:rPr>
          <w:rFonts w:cs="Naskh News"/>
          <w:b/>
          <w:bCs/>
          <w:lang w:bidi="ar-JO"/>
        </w:rPr>
      </w:pPr>
      <w:r>
        <w:rPr>
          <w:rStyle w:val="FootnoteReference"/>
          <w:rFonts w:cs="Naskh News"/>
          <w:b/>
          <w:bCs/>
        </w:rPr>
        <w:sym w:font="Symbol" w:char="F0D3"/>
      </w:r>
      <w:r>
        <w:rPr>
          <w:rFonts w:cs="Naskh News" w:hint="cs"/>
          <w:b/>
          <w:bCs/>
          <w:rtl/>
        </w:rPr>
        <w:t xml:space="preserve"> </w:t>
      </w:r>
      <w:r>
        <w:rPr>
          <w:rFonts w:cs="Naskh News" w:hint="cs"/>
          <w:b/>
          <w:bCs/>
          <w:rtl/>
          <w:lang w:bidi="ar-JO"/>
        </w:rPr>
        <w:t xml:space="preserve"> جميع الحقوق محفوظة لجامعة جرش </w:t>
      </w:r>
      <w:r>
        <w:rPr>
          <w:rFonts w:cs="Naskh News"/>
          <w:b/>
          <w:bCs/>
          <w:lang w:bidi="ar-JO"/>
        </w:rPr>
        <w:t>2019</w:t>
      </w:r>
      <w:r>
        <w:rPr>
          <w:rFonts w:cs="Naskh News" w:hint="cs"/>
          <w:b/>
          <w:bCs/>
          <w:rtl/>
          <w:lang w:bidi="ar-JO"/>
        </w:rPr>
        <w:t>.</w:t>
      </w:r>
    </w:p>
  </w:footnote>
  <w:footnote w:id="2">
    <w:p w:rsidR="0017630A" w:rsidRDefault="0017630A" w:rsidP="0017630A">
      <w:pPr>
        <w:pStyle w:val="FootnoteText"/>
        <w:spacing w:before="60"/>
        <w:ind w:left="198" w:hanging="198"/>
        <w:rPr>
          <w:rFonts w:cs="Naskh News" w:hint="cs"/>
          <w:sz w:val="16"/>
          <w:szCs w:val="16"/>
          <w:rtl/>
          <w:lang w:bidi="ar-JO"/>
        </w:rPr>
      </w:pPr>
      <w:r>
        <w:rPr>
          <w:rFonts w:cs="Naskh News" w:hint="cs"/>
          <w:sz w:val="16"/>
          <w:szCs w:val="16"/>
          <w:rtl/>
        </w:rPr>
        <w:t>*</w:t>
      </w:r>
      <w:r>
        <w:rPr>
          <w:rFonts w:cs="Naskh News" w:hint="cs"/>
          <w:sz w:val="16"/>
          <w:szCs w:val="16"/>
          <w:rtl/>
          <w:lang w:bidi="ar-JO"/>
        </w:rPr>
        <w:t xml:space="preserve">   </w:t>
      </w:r>
      <w:r>
        <w:rPr>
          <w:rFonts w:cs="Naskh News" w:hint="cs"/>
          <w:sz w:val="16"/>
          <w:szCs w:val="16"/>
          <w:rtl/>
        </w:rPr>
        <w:t>أستاذ مشارك في القانون الخاص، كلية الحقوق، جامعة أبو ظبي، الإمارات العربية المتحدة.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94B"/>
    <w:rsid w:val="001321E2"/>
    <w:rsid w:val="0017630A"/>
    <w:rsid w:val="00663352"/>
    <w:rsid w:val="006E5A4C"/>
    <w:rsid w:val="0099099B"/>
    <w:rsid w:val="00F95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2FDF"/>
  <w15:chartTrackingRefBased/>
  <w15:docId w15:val="{7B59E1B3-6323-4F7A-99BA-92A47EFB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94B"/>
    <w:pPr>
      <w:bidi/>
      <w:spacing w:after="0" w:line="240" w:lineRule="auto"/>
    </w:pPr>
    <w:rPr>
      <w:rFonts w:ascii="Times New Roman" w:eastAsia="Times New Roman" w:hAnsi="Times New Roman" w:cs="Traditional Arabic"/>
      <w:noProof/>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94B"/>
    <w:pPr>
      <w:jc w:val="center"/>
    </w:pPr>
    <w:rPr>
      <w:sz w:val="40"/>
      <w:szCs w:val="40"/>
    </w:rPr>
  </w:style>
  <w:style w:type="character" w:customStyle="1" w:styleId="TitleChar">
    <w:name w:val="Title Char"/>
    <w:basedOn w:val="DefaultParagraphFont"/>
    <w:link w:val="Title"/>
    <w:rsid w:val="00F9594B"/>
    <w:rPr>
      <w:rFonts w:ascii="Times New Roman" w:eastAsia="Times New Roman" w:hAnsi="Times New Roman" w:cs="Traditional Arabic"/>
      <w:noProof/>
      <w:sz w:val="40"/>
      <w:szCs w:val="40"/>
      <w:lang w:eastAsia="ar-SA"/>
    </w:rPr>
  </w:style>
  <w:style w:type="paragraph" w:styleId="BodyText">
    <w:name w:val="Body Text"/>
    <w:basedOn w:val="Normal"/>
    <w:link w:val="BodyTextChar"/>
    <w:rsid w:val="00F9594B"/>
    <w:pPr>
      <w:spacing w:before="120"/>
      <w:jc w:val="lowKashida"/>
    </w:pPr>
    <w:rPr>
      <w:sz w:val="32"/>
      <w:szCs w:val="32"/>
    </w:rPr>
  </w:style>
  <w:style w:type="character" w:customStyle="1" w:styleId="BodyTextChar">
    <w:name w:val="Body Text Char"/>
    <w:basedOn w:val="DefaultParagraphFont"/>
    <w:link w:val="BodyText"/>
    <w:rsid w:val="00F9594B"/>
    <w:rPr>
      <w:rFonts w:ascii="Times New Roman" w:eastAsia="Times New Roman" w:hAnsi="Times New Roman" w:cs="Traditional Arabic"/>
      <w:noProof/>
      <w:sz w:val="32"/>
      <w:szCs w:val="32"/>
      <w:lang w:eastAsia="ar-SA"/>
    </w:rPr>
  </w:style>
  <w:style w:type="paragraph" w:styleId="FootnoteText">
    <w:name w:val="footnote text"/>
    <w:aliases w:val="Char Char Char,Char Char,حواشي سفلية"/>
    <w:basedOn w:val="Normal"/>
    <w:link w:val="FootnoteTextChar"/>
    <w:rsid w:val="00F9594B"/>
  </w:style>
  <w:style w:type="character" w:customStyle="1" w:styleId="FootnoteTextChar">
    <w:name w:val="Footnote Text Char"/>
    <w:aliases w:val="Char Char Char Char,Char Char Char1,حواشي سفلية Char"/>
    <w:basedOn w:val="DefaultParagraphFont"/>
    <w:link w:val="FootnoteText"/>
    <w:rsid w:val="00F9594B"/>
    <w:rPr>
      <w:rFonts w:ascii="Times New Roman" w:eastAsia="Times New Roman" w:hAnsi="Times New Roman" w:cs="Traditional Arabic"/>
      <w:noProof/>
      <w:sz w:val="20"/>
      <w:szCs w:val="20"/>
      <w:lang w:eastAsia="ar-SA"/>
    </w:rPr>
  </w:style>
  <w:style w:type="character" w:styleId="FootnoteReference">
    <w:name w:val="footnote reference"/>
    <w:basedOn w:val="DefaultParagraphFont"/>
    <w:semiHidden/>
    <w:rsid w:val="00F9594B"/>
    <w:rPr>
      <w:vertAlign w:val="superscript"/>
    </w:rPr>
  </w:style>
  <w:style w:type="paragraph" w:styleId="ListParagraph">
    <w:name w:val="List Paragraph"/>
    <w:basedOn w:val="Normal"/>
    <w:link w:val="ListParagraphChar"/>
    <w:uiPriority w:val="34"/>
    <w:qFormat/>
    <w:rsid w:val="00F9594B"/>
    <w:pPr>
      <w:spacing w:after="200" w:line="276" w:lineRule="auto"/>
      <w:ind w:left="720"/>
    </w:pPr>
    <w:rPr>
      <w:rFonts w:ascii="Calibri" w:hAnsi="Calibri" w:cs="Arial"/>
      <w:noProof w:val="0"/>
      <w:sz w:val="22"/>
      <w:szCs w:val="22"/>
      <w:lang w:eastAsia="en-US"/>
    </w:rPr>
  </w:style>
  <w:style w:type="character" w:customStyle="1" w:styleId="ListParagraphChar">
    <w:name w:val="List Paragraph Char"/>
    <w:basedOn w:val="DefaultParagraphFont"/>
    <w:link w:val="ListParagraph"/>
    <w:uiPriority w:val="34"/>
    <w:rsid w:val="00F9594B"/>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229259">
      <w:bodyDiv w:val="1"/>
      <w:marLeft w:val="0"/>
      <w:marRight w:val="0"/>
      <w:marTop w:val="0"/>
      <w:marBottom w:val="0"/>
      <w:divBdr>
        <w:top w:val="none" w:sz="0" w:space="0" w:color="auto"/>
        <w:left w:val="none" w:sz="0" w:space="0" w:color="auto"/>
        <w:bottom w:val="none" w:sz="0" w:space="0" w:color="auto"/>
        <w:right w:val="none" w:sz="0" w:space="0" w:color="auto"/>
      </w:divBdr>
    </w:div>
    <w:div w:id="1961451941">
      <w:bodyDiv w:val="1"/>
      <w:marLeft w:val="0"/>
      <w:marRight w:val="0"/>
      <w:marTop w:val="0"/>
      <w:marBottom w:val="0"/>
      <w:divBdr>
        <w:top w:val="none" w:sz="0" w:space="0" w:color="auto"/>
        <w:left w:val="none" w:sz="0" w:space="0" w:color="auto"/>
        <w:bottom w:val="none" w:sz="0" w:space="0" w:color="auto"/>
        <w:right w:val="none" w:sz="0" w:space="0" w:color="auto"/>
      </w:divBdr>
    </w:div>
    <w:div w:id="203692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الدكتور محمد أبوشقير</dc:creator>
  <cp:keywords/>
  <dc:description/>
  <cp:lastModifiedBy>الدكتور محمد أبوشقير </cp:lastModifiedBy>
  <cp:revision>2</cp:revision>
  <dcterms:created xsi:type="dcterms:W3CDTF">2019-06-09T04:15:00Z</dcterms:created>
  <dcterms:modified xsi:type="dcterms:W3CDTF">2019-06-09T04:15:00Z</dcterms:modified>
</cp:coreProperties>
</file>