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38" w:rsidRPr="00654938" w:rsidRDefault="00654938" w:rsidP="00654938">
      <w:pPr>
        <w:pStyle w:val="a3"/>
        <w:spacing w:before="0" w:beforeAutospacing="0" w:afterAutospacing="0"/>
        <w:jc w:val="center"/>
        <w:rPr>
          <w:b/>
          <w:bCs/>
          <w:color w:val="1D1B11" w:themeColor="background2" w:themeShade="1A"/>
          <w:sz w:val="36"/>
          <w:szCs w:val="36"/>
        </w:rPr>
      </w:pPr>
      <w:r w:rsidRPr="00654938">
        <w:rPr>
          <w:rFonts w:ascii="Arial" w:hAnsi="Arial" w:cs="Arial"/>
          <w:b/>
          <w:bCs/>
          <w:color w:val="1D1B11" w:themeColor="background2" w:themeShade="1A"/>
          <w:sz w:val="36"/>
          <w:szCs w:val="36"/>
        </w:rPr>
        <w:t>Preparation and Spectroscopic Investigation of New mixed</w:t>
      </w:r>
      <w:r w:rsidRPr="00654938">
        <w:rPr>
          <w:b/>
          <w:bCs/>
          <w:color w:val="1D1B11" w:themeColor="background2" w:themeShade="1A"/>
          <w:sz w:val="36"/>
          <w:szCs w:val="36"/>
        </w:rPr>
        <w:t xml:space="preserve"> </w:t>
      </w:r>
      <w:r w:rsidRPr="00654938">
        <w:rPr>
          <w:rFonts w:ascii="Arial" w:hAnsi="Arial" w:cs="Arial"/>
          <w:b/>
          <w:bCs/>
          <w:color w:val="1D1B11" w:themeColor="background2" w:themeShade="1A"/>
          <w:sz w:val="36"/>
          <w:szCs w:val="36"/>
        </w:rPr>
        <w:t>Ligand Chelates</w:t>
      </w:r>
      <w:r w:rsidRPr="00654938">
        <w:rPr>
          <w:rFonts w:ascii="Arial" w:hAnsi="Arial" w:cs="Arial"/>
          <w:color w:val="1D1B11" w:themeColor="background2" w:themeShade="1A"/>
          <w:sz w:val="36"/>
          <w:szCs w:val="36"/>
        </w:rPr>
        <w:t xml:space="preserve"> </w:t>
      </w:r>
    </w:p>
    <w:p w:rsidR="00654938" w:rsidRPr="00654938" w:rsidRDefault="00654938" w:rsidP="00654938">
      <w:pPr>
        <w:pStyle w:val="a3"/>
        <w:spacing w:before="0" w:beforeAutospacing="0" w:afterAutospacing="0"/>
        <w:jc w:val="center"/>
        <w:rPr>
          <w:color w:val="1D1B11" w:themeColor="background2" w:themeShade="1A"/>
        </w:rPr>
      </w:pPr>
      <w:r w:rsidRPr="00654938">
        <w:rPr>
          <w:rFonts w:ascii="Arial" w:hAnsi="Arial" w:cs="Arial"/>
          <w:b/>
          <w:bCs/>
          <w:color w:val="1D1B11" w:themeColor="background2" w:themeShade="1A"/>
        </w:rPr>
        <w:t>M. M. EI-ajaily(*) A</w:t>
      </w:r>
      <w:r>
        <w:rPr>
          <w:rFonts w:ascii="Arial" w:hAnsi="Arial" w:cs="Arial"/>
          <w:b/>
          <w:bCs/>
          <w:color w:val="1D1B11" w:themeColor="background2" w:themeShade="1A"/>
        </w:rPr>
        <w:t>.</w:t>
      </w:r>
      <w:r w:rsidRPr="00654938">
        <w:rPr>
          <w:rFonts w:ascii="Arial" w:hAnsi="Arial" w:cs="Arial"/>
          <w:b/>
          <w:bCs/>
          <w:color w:val="1D1B11" w:themeColor="background2" w:themeShade="1A"/>
        </w:rPr>
        <w:t xml:space="preserve"> A. Maihub(**)</w:t>
      </w:r>
    </w:p>
    <w:p w:rsidR="00654938" w:rsidRPr="00654938" w:rsidRDefault="00654938" w:rsidP="00654938">
      <w:pPr>
        <w:pStyle w:val="a3"/>
        <w:spacing w:before="0" w:beforeAutospacing="0" w:afterAutospacing="0"/>
        <w:rPr>
          <w:color w:val="1D1B11" w:themeColor="background2" w:themeShade="1A"/>
        </w:rPr>
      </w:pPr>
      <w:r w:rsidRPr="00654938">
        <w:rPr>
          <w:rFonts w:ascii="Arial" w:hAnsi="Arial" w:cs="Arial"/>
          <w:color w:val="1D1B11" w:themeColor="background2" w:themeShade="1A"/>
          <w:sz w:val="22"/>
          <w:szCs w:val="22"/>
        </w:rPr>
        <w:t>Received On : 7/1/2004</w:t>
      </w:r>
      <w:r>
        <w:rPr>
          <w:color w:val="1D1B11" w:themeColor="background2" w:themeShade="1A"/>
        </w:rPr>
        <w:t xml:space="preserve">                                     </w:t>
      </w:r>
      <w:r w:rsidRPr="00654938">
        <w:rPr>
          <w:rFonts w:ascii="Arial" w:hAnsi="Arial" w:cs="Arial"/>
          <w:color w:val="1D1B11" w:themeColor="background2" w:themeShade="1A"/>
          <w:sz w:val="22"/>
          <w:szCs w:val="22"/>
        </w:rPr>
        <w:t>Accepted For Publication : 3/8/2004</w:t>
      </w:r>
    </w:p>
    <w:p w:rsidR="00654938" w:rsidRPr="00654938" w:rsidRDefault="00654938" w:rsidP="00654938">
      <w:pPr>
        <w:pStyle w:val="a3"/>
        <w:spacing w:before="0" w:beforeAutospacing="0" w:afterAutospacing="0"/>
        <w:jc w:val="center"/>
        <w:rPr>
          <w:b/>
          <w:bCs/>
          <w:color w:val="1D1B11" w:themeColor="background2" w:themeShade="1A"/>
        </w:rPr>
      </w:pPr>
      <w:r w:rsidRPr="00654938">
        <w:rPr>
          <w:rFonts w:ascii="Arial" w:hAnsi="Arial" w:cs="Arial"/>
          <w:b/>
          <w:bCs/>
          <w:color w:val="1D1B11" w:themeColor="background2" w:themeShade="1A"/>
        </w:rPr>
        <w:t>ABSTRACT</w:t>
      </w:r>
    </w:p>
    <w:p w:rsidR="00654938" w:rsidRPr="00654938" w:rsidRDefault="00654938" w:rsidP="00654938">
      <w:pPr>
        <w:pStyle w:val="a3"/>
        <w:spacing w:before="0" w:beforeAutospacing="0" w:afterAutospacing="0"/>
        <w:rPr>
          <w:color w:val="1D1B11" w:themeColor="background2" w:themeShade="1A"/>
        </w:rPr>
      </w:pPr>
      <w:r w:rsidRPr="00654938">
        <w:rPr>
          <w:rFonts w:ascii="Arial" w:hAnsi="Arial" w:cs="Arial"/>
          <w:color w:val="1D1B11" w:themeColor="background2" w:themeShade="1A"/>
          <w:sz w:val="22"/>
          <w:szCs w:val="22"/>
        </w:rPr>
        <w:t xml:space="preserve">Novel mixed </w:t>
      </w:r>
      <w:proofErr w:type="spellStart"/>
      <w:r w:rsidRPr="00654938">
        <w:rPr>
          <w:rFonts w:ascii="Arial" w:hAnsi="Arial" w:cs="Arial"/>
          <w:color w:val="1D1B11" w:themeColor="background2" w:themeShade="1A"/>
          <w:sz w:val="22"/>
          <w:szCs w:val="22"/>
        </w:rPr>
        <w:t>ligand</w:t>
      </w:r>
      <w:proofErr w:type="spellEnd"/>
      <w:r w:rsidRPr="00654938">
        <w:rPr>
          <w:rFonts w:ascii="Arial" w:hAnsi="Arial" w:cs="Arial"/>
          <w:color w:val="1D1B11" w:themeColor="background2" w:themeShade="1A"/>
          <w:sz w:val="22"/>
          <w:szCs w:val="22"/>
        </w:rPr>
        <w:t xml:space="preserve"> chelates of Ti(IV)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,</w:t>
      </w:r>
      <w:r w:rsidRPr="00654938">
        <w:rPr>
          <w:rFonts w:ascii="Arial" w:hAnsi="Arial" w:cs="Arial"/>
          <w:color w:val="1D1B11" w:themeColor="background2" w:themeShade="1A"/>
          <w:sz w:val="22"/>
          <w:szCs w:val="22"/>
        </w:rPr>
        <w:t xml:space="preserve"> Cr(II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I</w:t>
      </w:r>
      <w:r w:rsidRPr="00654938">
        <w:rPr>
          <w:rFonts w:ascii="Arial" w:hAnsi="Arial" w:cs="Arial"/>
          <w:color w:val="1D1B11" w:themeColor="background2" w:themeShade="1A"/>
          <w:sz w:val="22"/>
          <w:szCs w:val="22"/>
        </w:rPr>
        <w:t xml:space="preserve">) and Fe(III) ions with salicylaldehyde and dithiol have been prepared and investigated by different techniques, in particular, elemental analysis(CHS), molar conductance measurements, infrared and </w:t>
      </w:r>
      <w:r>
        <w:rPr>
          <w:rFonts w:ascii="Arial" w:hAnsi="Arial" w:cs="Arial"/>
          <w:color w:val="1D1B11" w:themeColor="background2" w:themeShade="1A"/>
          <w:sz w:val="22"/>
          <w:szCs w:val="22"/>
        </w:rPr>
        <w:t>e</w:t>
      </w:r>
      <w:r w:rsidRPr="00654938">
        <w:rPr>
          <w:rFonts w:ascii="Arial" w:hAnsi="Arial" w:cs="Arial"/>
          <w:color w:val="1D1B11" w:themeColor="background2" w:themeShade="1A"/>
          <w:sz w:val="22"/>
          <w:szCs w:val="22"/>
        </w:rPr>
        <w:t>lectronic spectra. The elemental analysis data exhibit the formation of M:L:L'[I: 1: 1) ratio. The molar conductance measurements indicate the presence of non-electrolytic nature of the prepared complexes. The infrared spectra reveal one mode for complexation site, through sulfur atoms of the dithiol and oxygen atoms of the carbonyl(C=0) and the hydroxyl groups of salicylaldehyde. The electronic absorption spectra show the existence of an octahedral geometry.</w:t>
      </w:r>
    </w:p>
    <w:p w:rsidR="00654938" w:rsidRDefault="00654938" w:rsidP="00654938">
      <w:pPr>
        <w:pStyle w:val="a3"/>
        <w:bidi/>
        <w:spacing w:before="0" w:beforeAutospacing="0" w:afterAutospacing="0"/>
        <w:jc w:val="center"/>
        <w:rPr>
          <w:rFonts w:hint="cs"/>
          <w:b/>
          <w:bCs/>
          <w:color w:val="1D1B11" w:themeColor="background2" w:themeShade="1A"/>
          <w:sz w:val="32"/>
          <w:szCs w:val="32"/>
          <w:rtl/>
          <w:lang w:bidi="ar-JO"/>
        </w:rPr>
      </w:pPr>
      <w:r w:rsidRPr="00654938">
        <w:rPr>
          <w:rFonts w:ascii="Arial" w:hAnsi="Arial" w:cs="Arial"/>
          <w:b/>
          <w:bCs/>
          <w:color w:val="1D1B11" w:themeColor="background2" w:themeShade="1A"/>
          <w:sz w:val="32"/>
          <w:szCs w:val="32"/>
          <w:rtl/>
        </w:rPr>
        <w:t>الملخص :</w:t>
      </w:r>
    </w:p>
    <w:p w:rsidR="005A5CBD" w:rsidRPr="00654938" w:rsidRDefault="00654938" w:rsidP="005A5CBD">
      <w:pPr>
        <w:pStyle w:val="a3"/>
        <w:bidi/>
        <w:spacing w:before="0" w:beforeAutospacing="0" w:afterAutospacing="0"/>
        <w:ind w:left="720"/>
        <w:rPr>
          <w:rFonts w:hint="cs"/>
          <w:color w:val="1D1B11" w:themeColor="background2" w:themeShade="1A"/>
          <w:rtl/>
          <w:lang w:bidi="ar-JO"/>
        </w:rPr>
      </w:pPr>
      <w:r w:rsidRPr="00654938">
        <w:rPr>
          <w:rFonts w:ascii="Arial" w:hAnsi="Arial" w:cs="Arial"/>
          <w:color w:val="1D1B11" w:themeColor="background2" w:themeShade="1A"/>
          <w:rtl/>
        </w:rPr>
        <w:t>تم تحضير مجموعات كلا</w:t>
      </w:r>
      <w:r>
        <w:rPr>
          <w:rFonts w:ascii="Arial" w:hAnsi="Arial" w:cs="Arial" w:hint="cs"/>
          <w:color w:val="1D1B11" w:themeColor="background2" w:themeShade="1A"/>
          <w:rtl/>
        </w:rPr>
        <w:t>ب</w:t>
      </w:r>
      <w:r w:rsidRPr="00654938">
        <w:rPr>
          <w:rFonts w:ascii="Arial" w:hAnsi="Arial" w:cs="Arial"/>
          <w:color w:val="1D1B11" w:themeColor="background2" w:themeShade="1A"/>
          <w:rtl/>
        </w:rPr>
        <w:t>ية مختلطة جديدة مكونة من أيونات</w:t>
      </w:r>
      <w:r w:rsidR="005A5CBD">
        <w:rPr>
          <w:rFonts w:ascii="Arial" w:hAnsi="Arial" w:cs="Arial" w:hint="cs"/>
          <w:color w:val="1D1B11" w:themeColor="background2" w:themeShade="1A"/>
          <w:rtl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  <w:rtl/>
        </w:rPr>
        <w:t xml:space="preserve">( </w:t>
      </w:r>
      <w:r w:rsidR="005A5CBD" w:rsidRPr="00654938">
        <w:rPr>
          <w:rFonts w:ascii="Arial" w:hAnsi="Arial" w:cs="Arial"/>
          <w:color w:val="1D1B11" w:themeColor="background2" w:themeShade="1A"/>
        </w:rPr>
        <w:t>Ti ( IV</w:t>
      </w:r>
      <w:r w:rsidR="005A5CBD">
        <w:rPr>
          <w:rFonts w:ascii="Arial" w:hAnsi="Arial" w:cs="Arial" w:hint="cs"/>
          <w:color w:val="1D1B11" w:themeColor="background2" w:themeShade="1A"/>
          <w:rtl/>
          <w:lang w:bidi="ar-JO"/>
        </w:rPr>
        <w:t xml:space="preserve"> و(</w:t>
      </w:r>
      <w:r w:rsidR="005A5CBD" w:rsidRPr="00654938">
        <w:rPr>
          <w:rFonts w:ascii="Arial" w:hAnsi="Arial" w:cs="Arial"/>
          <w:color w:val="1D1B11" w:themeColor="background2" w:themeShade="1A"/>
        </w:rPr>
        <w:t>III</w:t>
      </w:r>
      <w:r w:rsidR="005A5CBD">
        <w:rPr>
          <w:rFonts w:ascii="Arial" w:hAnsi="Arial" w:cs="Arial" w:hint="cs"/>
          <w:color w:val="1D1B11" w:themeColor="background2" w:themeShade="1A"/>
          <w:rtl/>
          <w:lang w:bidi="ar-JO"/>
        </w:rPr>
        <w:t>)</w:t>
      </w:r>
      <w:r w:rsidR="005A5CBD" w:rsidRPr="005A5CBD">
        <w:rPr>
          <w:rFonts w:ascii="Arial" w:hAnsi="Arial" w:cs="Arial"/>
          <w:color w:val="1D1B11" w:themeColor="background2" w:themeShade="1A"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</w:rPr>
        <w:t>Cr</w:t>
      </w:r>
      <w:r>
        <w:rPr>
          <w:rFonts w:ascii="Arial" w:hAnsi="Arial" w:cs="Arial" w:hint="cs"/>
          <w:color w:val="1D1B11" w:themeColor="background2" w:themeShade="1A"/>
          <w:rtl/>
          <w:lang w:bidi="ar-JO"/>
        </w:rPr>
        <w:t xml:space="preserve"> و(</w:t>
      </w:r>
      <w:r w:rsidRPr="00654938">
        <w:rPr>
          <w:rFonts w:ascii="Arial" w:hAnsi="Arial" w:cs="Arial"/>
          <w:color w:val="1D1B11" w:themeColor="background2" w:themeShade="1A"/>
        </w:rPr>
        <w:t>III</w:t>
      </w:r>
      <w:r>
        <w:rPr>
          <w:rFonts w:ascii="Arial" w:hAnsi="Arial" w:cs="Arial" w:hint="cs"/>
          <w:color w:val="1D1B11" w:themeColor="background2" w:themeShade="1A"/>
          <w:rtl/>
          <w:lang w:bidi="ar-JO"/>
        </w:rPr>
        <w:t>)</w:t>
      </w:r>
      <w:r w:rsidR="005A5CBD">
        <w:rPr>
          <w:rFonts w:hint="cs"/>
          <w:b/>
          <w:bCs/>
          <w:color w:val="1D1B11" w:themeColor="background2" w:themeShade="1A"/>
          <w:sz w:val="32"/>
          <w:szCs w:val="32"/>
          <w:rtl/>
          <w:lang w:bidi="ar-JO"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</w:rPr>
        <w:t>Fe</w:t>
      </w:r>
      <w:r w:rsidR="005A5CBD">
        <w:rPr>
          <w:rFonts w:hint="cs"/>
          <w:b/>
          <w:bCs/>
          <w:color w:val="1D1B11" w:themeColor="background2" w:themeShade="1A"/>
          <w:sz w:val="32"/>
          <w:szCs w:val="32"/>
          <w:rtl/>
          <w:lang w:bidi="ar-JO"/>
        </w:rPr>
        <w:t xml:space="preserve"> </w:t>
      </w:r>
      <w:r w:rsidR="005A5CBD">
        <w:rPr>
          <w:rFonts w:hint="cs"/>
          <w:b/>
          <w:bCs/>
          <w:color w:val="1D1B11" w:themeColor="background2" w:themeShade="1A"/>
          <w:sz w:val="18"/>
          <w:szCs w:val="18"/>
          <w:rtl/>
          <w:lang w:bidi="ar-JO"/>
        </w:rPr>
        <w:t xml:space="preserve">مع </w:t>
      </w:r>
      <w:r w:rsidR="005A5CBD">
        <w:rPr>
          <w:rFonts w:hint="cs"/>
          <w:color w:val="1D1B11" w:themeColor="background2" w:themeShade="1A"/>
          <w:sz w:val="18"/>
          <w:szCs w:val="18"/>
          <w:rtl/>
          <w:lang w:bidi="ar-JO"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</w:rPr>
        <w:t>salicylaldehyde</w:t>
      </w:r>
      <w:r w:rsidR="005A5CBD" w:rsidRPr="00654938">
        <w:rPr>
          <w:rFonts w:ascii="Arial" w:hAnsi="Arial" w:cs="Arial"/>
          <w:color w:val="1D1B11" w:themeColor="background2" w:themeShade="1A"/>
          <w:rtl/>
        </w:rPr>
        <w:t xml:space="preserve"> و</w:t>
      </w:r>
      <w:r w:rsidR="005A5CBD" w:rsidRPr="00654938">
        <w:rPr>
          <w:rFonts w:ascii="Arial" w:hAnsi="Arial" w:cs="Arial"/>
          <w:color w:val="1D1B11" w:themeColor="background2" w:themeShade="1A"/>
        </w:rPr>
        <w:t>dithiol</w:t>
      </w:r>
      <w:r w:rsidR="005A5CBD">
        <w:rPr>
          <w:rFonts w:hint="cs"/>
          <w:color w:val="1D1B11" w:themeColor="background2" w:themeShade="1A"/>
          <w:sz w:val="18"/>
          <w:szCs w:val="18"/>
          <w:rtl/>
          <w:lang w:bidi="ar-JO"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  <w:rtl/>
        </w:rPr>
        <w:t xml:space="preserve">درست هذه المركبات </w:t>
      </w:r>
      <w:r w:rsidR="005A5CBD">
        <w:rPr>
          <w:rFonts w:ascii="Arial" w:hAnsi="Arial" w:cs="Arial" w:hint="cs"/>
          <w:color w:val="1D1B11" w:themeColor="background2" w:themeShade="1A"/>
          <w:rtl/>
        </w:rPr>
        <w:t>ب</w:t>
      </w:r>
      <w:r w:rsidR="005A5CBD" w:rsidRPr="00654938">
        <w:rPr>
          <w:rFonts w:ascii="Arial" w:hAnsi="Arial" w:cs="Arial"/>
          <w:color w:val="1D1B11" w:themeColor="background2" w:themeShade="1A"/>
          <w:rtl/>
        </w:rPr>
        <w:t>طرق مختلفة وبشكل خاص التحليل العنصري (</w:t>
      </w:r>
      <w:r w:rsidR="005A5CBD" w:rsidRPr="00654938">
        <w:rPr>
          <w:rFonts w:ascii="Arial" w:hAnsi="Arial" w:cs="Arial"/>
          <w:color w:val="1D1B11" w:themeColor="background2" w:themeShade="1A"/>
        </w:rPr>
        <w:t>CHS</w:t>
      </w:r>
      <w:r w:rsidR="005A5CBD" w:rsidRPr="00654938">
        <w:rPr>
          <w:rFonts w:ascii="Arial" w:hAnsi="Arial" w:cs="Arial"/>
          <w:color w:val="1D1B11" w:themeColor="background2" w:themeShade="1A"/>
          <w:rtl/>
        </w:rPr>
        <w:t>) وقياسات التوصيلية الكهربائية المولية وأطياف الأشعة تحت الحمراء والأطياف</w:t>
      </w:r>
      <w:r w:rsidR="005A5CBD">
        <w:rPr>
          <w:rFonts w:hint="cs"/>
          <w:color w:val="1D1B11" w:themeColor="background2" w:themeShade="1A"/>
          <w:sz w:val="18"/>
          <w:szCs w:val="18"/>
          <w:rtl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  <w:sz w:val="22"/>
          <w:szCs w:val="22"/>
          <w:rtl/>
        </w:rPr>
        <w:t>الالكترونية</w:t>
      </w:r>
      <w:r w:rsidR="005A5CBD">
        <w:rPr>
          <w:rFonts w:ascii="Arial" w:hAnsi="Arial" w:cs="Arial" w:hint="cs"/>
          <w:color w:val="1D1B11" w:themeColor="background2" w:themeShade="1A"/>
          <w:sz w:val="22"/>
          <w:szCs w:val="22"/>
          <w:rtl/>
        </w:rPr>
        <w:t>.</w:t>
      </w:r>
      <w:r w:rsidR="005A5CBD" w:rsidRPr="00654938">
        <w:rPr>
          <w:rFonts w:ascii="Arial" w:hAnsi="Arial" w:cs="Arial"/>
          <w:color w:val="1D1B11" w:themeColor="background2" w:themeShade="1A"/>
          <w:sz w:val="22"/>
          <w:szCs w:val="22"/>
          <w:rtl/>
        </w:rPr>
        <w:t xml:space="preserve"> تبين معطيات التحليل العنصري تكون المعقد</w:t>
      </w:r>
      <w:r w:rsidR="005A5CBD">
        <w:rPr>
          <w:rFonts w:hint="cs"/>
          <w:color w:val="1D1B11" w:themeColor="background2" w:themeShade="1A"/>
          <w:sz w:val="18"/>
          <w:szCs w:val="18"/>
          <w:rtl/>
          <w:lang w:bidi="ar-JO"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  <w:sz w:val="22"/>
          <w:szCs w:val="22"/>
        </w:rPr>
        <w:t xml:space="preserve">M : L : </w:t>
      </w:r>
      <w:r w:rsidR="005A5CBD">
        <w:rPr>
          <w:rFonts w:ascii="Arial" w:hAnsi="Arial" w:cs="Arial"/>
          <w:color w:val="1D1B11" w:themeColor="background2" w:themeShade="1A"/>
          <w:sz w:val="22"/>
          <w:szCs w:val="22"/>
        </w:rPr>
        <w:t>L</w:t>
      </w:r>
      <w:r w:rsidR="005A5CBD">
        <w:rPr>
          <w:rFonts w:hint="cs"/>
          <w:color w:val="1D1B11" w:themeColor="background2" w:themeShade="1A"/>
          <w:rtl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  <w:sz w:val="22"/>
          <w:szCs w:val="22"/>
          <w:rtl/>
        </w:rPr>
        <w:t>بنسبة</w:t>
      </w:r>
      <w:r w:rsidR="005A5CBD">
        <w:rPr>
          <w:rFonts w:hint="cs"/>
          <w:color w:val="1D1B11" w:themeColor="background2" w:themeShade="1A"/>
          <w:rtl/>
        </w:rPr>
        <w:t xml:space="preserve"> </w:t>
      </w:r>
      <w:r w:rsidR="005A5CBD" w:rsidRPr="00654938">
        <w:rPr>
          <w:rFonts w:ascii="Arial" w:hAnsi="Arial" w:cs="Arial"/>
          <w:color w:val="1D1B11" w:themeColor="background2" w:themeShade="1A"/>
          <w:sz w:val="22"/>
          <w:szCs w:val="22"/>
          <w:rtl/>
        </w:rPr>
        <w:t xml:space="preserve">1 : 1 : </w:t>
      </w:r>
      <w:r w:rsidR="005A5CBD">
        <w:rPr>
          <w:rFonts w:ascii="Arial" w:hAnsi="Arial" w:cs="Arial" w:hint="cs"/>
          <w:color w:val="1D1B11" w:themeColor="background2" w:themeShade="1A"/>
          <w:sz w:val="22"/>
          <w:szCs w:val="22"/>
          <w:rtl/>
        </w:rPr>
        <w:t>1</w:t>
      </w:r>
    </w:p>
    <w:p w:rsidR="00654938" w:rsidRPr="00654938" w:rsidRDefault="00654938" w:rsidP="00654938">
      <w:pPr>
        <w:pStyle w:val="a3"/>
        <w:bidi/>
        <w:spacing w:before="0" w:beforeAutospacing="0" w:afterAutospacing="0"/>
        <w:rPr>
          <w:color w:val="1D1B11" w:themeColor="background2" w:themeShade="1A"/>
          <w:rtl/>
        </w:rPr>
      </w:pPr>
      <w:r w:rsidRPr="00654938">
        <w:rPr>
          <w:rFonts w:ascii="Arial" w:hAnsi="Arial" w:cs="Arial"/>
          <w:color w:val="1D1B11" w:themeColor="background2" w:themeShade="1A"/>
          <w:sz w:val="26"/>
          <w:szCs w:val="26"/>
          <w:rtl/>
        </w:rPr>
        <w:t xml:space="preserve">توضح قياسات التوصيلية الكهربائية المولية وجود المعقدات </w:t>
      </w:r>
      <w:r w:rsidR="005A5CBD">
        <w:rPr>
          <w:rFonts w:ascii="Arial" w:hAnsi="Arial" w:cs="Arial"/>
          <w:color w:val="1D1B11" w:themeColor="background2" w:themeShade="1A"/>
          <w:sz w:val="26"/>
          <w:szCs w:val="26"/>
          <w:rtl/>
        </w:rPr>
        <w:t>المحضرة ذات الطبيعة الالكترونية</w:t>
      </w:r>
      <w:r w:rsidR="005A5CBD">
        <w:rPr>
          <w:rFonts w:ascii="Arial" w:hAnsi="Arial" w:cs="Arial" w:hint="cs"/>
          <w:color w:val="1D1B11" w:themeColor="background2" w:themeShade="1A"/>
          <w:sz w:val="26"/>
          <w:szCs w:val="26"/>
          <w:rtl/>
        </w:rPr>
        <w:t>،</w:t>
      </w:r>
      <w:r w:rsidRPr="00654938">
        <w:rPr>
          <w:rFonts w:ascii="Arial" w:hAnsi="Arial" w:cs="Arial"/>
          <w:color w:val="1D1B11" w:themeColor="background2" w:themeShade="1A"/>
          <w:sz w:val="26"/>
          <w:szCs w:val="26"/>
          <w:rtl/>
        </w:rPr>
        <w:t xml:space="preserve">تكشف أطياف الأشعة تحت الحمراء طريقة موقع التعقيد عبر ذرات الكبريت في </w:t>
      </w:r>
      <w:r w:rsidRPr="00654938">
        <w:rPr>
          <w:rFonts w:ascii="Arial" w:hAnsi="Arial" w:cs="Arial"/>
          <w:color w:val="1D1B11" w:themeColor="background2" w:themeShade="1A"/>
          <w:sz w:val="26"/>
          <w:szCs w:val="26"/>
        </w:rPr>
        <w:t>dithiol</w:t>
      </w:r>
      <w:r w:rsidRPr="00654938">
        <w:rPr>
          <w:rFonts w:ascii="Arial" w:hAnsi="Arial" w:cs="Arial"/>
          <w:color w:val="1D1B11" w:themeColor="background2" w:themeShade="1A"/>
          <w:sz w:val="26"/>
          <w:szCs w:val="26"/>
          <w:rtl/>
        </w:rPr>
        <w:t xml:space="preserve"> وذرات الأوكسجين في مجموعة الكربونیل (0 = </w:t>
      </w:r>
      <w:r w:rsidRPr="00654938">
        <w:rPr>
          <w:rFonts w:ascii="Arial" w:hAnsi="Arial" w:cs="Arial"/>
          <w:color w:val="1D1B11" w:themeColor="background2" w:themeShade="1A"/>
          <w:sz w:val="26"/>
          <w:szCs w:val="26"/>
        </w:rPr>
        <w:t>C</w:t>
      </w:r>
      <w:r w:rsidRPr="00654938">
        <w:rPr>
          <w:rFonts w:ascii="Arial" w:hAnsi="Arial" w:cs="Arial"/>
          <w:color w:val="1D1B11" w:themeColor="background2" w:themeShade="1A"/>
          <w:sz w:val="26"/>
          <w:szCs w:val="26"/>
          <w:rtl/>
        </w:rPr>
        <w:t xml:space="preserve">) ومجموعات الهيدروكسيل لمركب </w:t>
      </w:r>
      <w:r w:rsidRPr="00654938">
        <w:rPr>
          <w:rFonts w:ascii="Arial" w:hAnsi="Arial" w:cs="Arial"/>
          <w:color w:val="1D1B11" w:themeColor="background2" w:themeShade="1A"/>
          <w:sz w:val="26"/>
          <w:szCs w:val="26"/>
        </w:rPr>
        <w:t>Salicylaldehyde</w:t>
      </w:r>
      <w:r w:rsidRPr="00654938">
        <w:rPr>
          <w:rFonts w:ascii="Arial" w:hAnsi="Arial" w:cs="Arial"/>
          <w:color w:val="1D1B11" w:themeColor="background2" w:themeShade="1A"/>
          <w:sz w:val="26"/>
          <w:szCs w:val="26"/>
          <w:rtl/>
        </w:rPr>
        <w:t xml:space="preserve"> . تبين أطياف الامتصاص الالكترونية وجود هندسة ثمانية الأوجه للمعقدات المتكونة</w:t>
      </w:r>
      <w:r w:rsidR="005A5CBD">
        <w:rPr>
          <w:rFonts w:ascii="Arial" w:hAnsi="Arial" w:cs="Arial" w:hint="cs"/>
          <w:color w:val="1D1B11" w:themeColor="background2" w:themeShade="1A"/>
          <w:sz w:val="26"/>
          <w:szCs w:val="26"/>
          <w:rtl/>
        </w:rPr>
        <w:t>.</w:t>
      </w:r>
      <w:r w:rsidRPr="00654938">
        <w:rPr>
          <w:rFonts w:ascii="Arial" w:hAnsi="Arial" w:cs="Arial"/>
          <w:color w:val="1D1B11" w:themeColor="background2" w:themeShade="1A"/>
          <w:sz w:val="26"/>
          <w:szCs w:val="26"/>
          <w:rtl/>
        </w:rPr>
        <w:t xml:space="preserve"> |</w:t>
      </w:r>
    </w:p>
    <w:p w:rsidR="00251DC5" w:rsidRDefault="00251DC5" w:rsidP="00654938">
      <w:pPr>
        <w:jc w:val="right"/>
        <w:rPr>
          <w:rFonts w:hint="cs"/>
        </w:rPr>
      </w:pPr>
    </w:p>
    <w:sectPr w:rsidR="00251DC5" w:rsidSect="00FC6BD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1CF7"/>
    <w:multiLevelType w:val="hybridMultilevel"/>
    <w:tmpl w:val="C710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654938"/>
    <w:rsid w:val="00251DC5"/>
    <w:rsid w:val="005A5CBD"/>
    <w:rsid w:val="00654938"/>
    <w:rsid w:val="00A35C03"/>
    <w:rsid w:val="00FC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9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2019-04-04T22:06:00Z</dcterms:created>
  <dcterms:modified xsi:type="dcterms:W3CDTF">2019-04-04T22:27:00Z</dcterms:modified>
</cp:coreProperties>
</file>