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45B72" w14:textId="156E572F" w:rsidR="00070E09" w:rsidRPr="00070E09" w:rsidRDefault="00070E09" w:rsidP="00070E09">
      <w:pPr>
        <w:jc w:val="center"/>
        <w:rPr>
          <w:sz w:val="24"/>
          <w:szCs w:val="24"/>
        </w:rPr>
      </w:pPr>
      <w:bookmarkStart w:id="0" w:name="_GoBack"/>
      <w:r w:rsidRPr="00070E09">
        <w:rPr>
          <w:sz w:val="24"/>
          <w:szCs w:val="24"/>
        </w:rPr>
        <w:t>The impact of the board characteristics as one of the</w:t>
      </w:r>
      <w:r>
        <w:rPr>
          <w:sz w:val="24"/>
          <w:szCs w:val="24"/>
        </w:rPr>
        <w:t xml:space="preserve"> </w:t>
      </w:r>
      <w:r w:rsidRPr="00070E09">
        <w:rPr>
          <w:sz w:val="24"/>
          <w:szCs w:val="24"/>
        </w:rPr>
        <w:t>corporate governance attributes</w:t>
      </w:r>
      <w:r>
        <w:rPr>
          <w:sz w:val="24"/>
          <w:szCs w:val="24"/>
        </w:rPr>
        <w:t xml:space="preserve"> </w:t>
      </w:r>
      <w:r w:rsidRPr="00070E09">
        <w:rPr>
          <w:sz w:val="24"/>
          <w:szCs w:val="24"/>
        </w:rPr>
        <w:t>on dividends policy:</w:t>
      </w:r>
      <w:r>
        <w:rPr>
          <w:sz w:val="24"/>
          <w:szCs w:val="24"/>
        </w:rPr>
        <w:t xml:space="preserve"> </w:t>
      </w:r>
      <w:r w:rsidRPr="00070E09">
        <w:rPr>
          <w:sz w:val="24"/>
          <w:szCs w:val="24"/>
        </w:rPr>
        <w:t>Evidence from Jordanian Commercial Banks</w:t>
      </w:r>
    </w:p>
    <w:bookmarkEnd w:id="0"/>
    <w:p w14:paraId="54151FAC" w14:textId="77777777" w:rsidR="00070E09" w:rsidRPr="00070E09" w:rsidRDefault="00070E09" w:rsidP="00070E09">
      <w:pPr>
        <w:jc w:val="center"/>
        <w:rPr>
          <w:sz w:val="24"/>
          <w:szCs w:val="24"/>
        </w:rPr>
      </w:pPr>
      <w:r w:rsidRPr="00070E09">
        <w:rPr>
          <w:sz w:val="24"/>
          <w:szCs w:val="24"/>
        </w:rPr>
        <w:t xml:space="preserve">Dr. </w:t>
      </w:r>
      <w:proofErr w:type="spellStart"/>
      <w:r w:rsidRPr="00070E09">
        <w:rPr>
          <w:sz w:val="24"/>
          <w:szCs w:val="24"/>
        </w:rPr>
        <w:t>Amneh</w:t>
      </w:r>
      <w:proofErr w:type="spellEnd"/>
      <w:r w:rsidRPr="00070E09">
        <w:rPr>
          <w:sz w:val="24"/>
          <w:szCs w:val="24"/>
        </w:rPr>
        <w:t xml:space="preserve"> </w:t>
      </w:r>
      <w:proofErr w:type="spellStart"/>
      <w:r w:rsidRPr="00070E09">
        <w:rPr>
          <w:sz w:val="24"/>
          <w:szCs w:val="24"/>
        </w:rPr>
        <w:t>Alkurdi</w:t>
      </w:r>
      <w:proofErr w:type="spellEnd"/>
    </w:p>
    <w:p w14:paraId="496CDBAE" w14:textId="2B433898" w:rsidR="00070E09" w:rsidRPr="00070E09" w:rsidRDefault="00070E09" w:rsidP="00070E09">
      <w:pPr>
        <w:jc w:val="center"/>
        <w:rPr>
          <w:sz w:val="72"/>
          <w:szCs w:val="72"/>
        </w:rPr>
      </w:pPr>
      <w:r w:rsidRPr="00070E09">
        <w:rPr>
          <w:sz w:val="72"/>
          <w:szCs w:val="72"/>
        </w:rPr>
        <w:t>Abstract</w:t>
      </w:r>
    </w:p>
    <w:p w14:paraId="70348603" w14:textId="77777777" w:rsidR="00070E09" w:rsidRPr="00070E09" w:rsidRDefault="00070E09" w:rsidP="00070E09">
      <w:pPr>
        <w:rPr>
          <w:sz w:val="24"/>
          <w:szCs w:val="24"/>
        </w:rPr>
      </w:pPr>
    </w:p>
    <w:p w14:paraId="2A061F32" w14:textId="77777777" w:rsidR="00070E09" w:rsidRPr="00070E09" w:rsidRDefault="00070E09" w:rsidP="00070E09">
      <w:pPr>
        <w:rPr>
          <w:sz w:val="24"/>
          <w:szCs w:val="24"/>
        </w:rPr>
      </w:pPr>
      <w:r w:rsidRPr="00070E09">
        <w:rPr>
          <w:sz w:val="24"/>
          <w:szCs w:val="24"/>
        </w:rPr>
        <w:t>Using a Jordanian Commercial Banks for the period of 2007-</w:t>
      </w:r>
    </w:p>
    <w:p w14:paraId="47E78F9D" w14:textId="77777777" w:rsidR="00070E09" w:rsidRPr="00070E09" w:rsidRDefault="00070E09" w:rsidP="00070E09">
      <w:pPr>
        <w:rPr>
          <w:sz w:val="24"/>
          <w:szCs w:val="24"/>
        </w:rPr>
      </w:pPr>
      <w:r w:rsidRPr="00070E09">
        <w:rPr>
          <w:sz w:val="24"/>
          <w:szCs w:val="24"/>
        </w:rPr>
        <w:t>2013, the current paper examines the impact of board characteristics,</w:t>
      </w:r>
    </w:p>
    <w:p w14:paraId="197D5AB2" w14:textId="77777777" w:rsidR="00070E09" w:rsidRPr="00070E09" w:rsidRDefault="00070E09" w:rsidP="00070E09">
      <w:pPr>
        <w:rPr>
          <w:sz w:val="24"/>
          <w:szCs w:val="24"/>
        </w:rPr>
      </w:pPr>
      <w:r w:rsidRPr="00070E09">
        <w:rPr>
          <w:sz w:val="24"/>
          <w:szCs w:val="24"/>
        </w:rPr>
        <w:t>including the (Board size, independency, separation and managerial</w:t>
      </w:r>
    </w:p>
    <w:p w14:paraId="790D1E46" w14:textId="77777777" w:rsidR="00070E09" w:rsidRPr="00070E09" w:rsidRDefault="00070E09" w:rsidP="00070E09">
      <w:pPr>
        <w:rPr>
          <w:sz w:val="24"/>
          <w:szCs w:val="24"/>
        </w:rPr>
      </w:pPr>
      <w:r w:rsidRPr="00070E09">
        <w:rPr>
          <w:sz w:val="24"/>
          <w:szCs w:val="24"/>
        </w:rPr>
        <w:t>ownership) on banks' dividends policy; an OLS regression analysis is</w:t>
      </w:r>
    </w:p>
    <w:p w14:paraId="074F6BCE" w14:textId="77777777" w:rsidR="00070E09" w:rsidRPr="00070E09" w:rsidRDefault="00070E09" w:rsidP="00070E09">
      <w:pPr>
        <w:rPr>
          <w:sz w:val="24"/>
          <w:szCs w:val="24"/>
        </w:rPr>
      </w:pPr>
      <w:r w:rsidRPr="00070E09">
        <w:rPr>
          <w:sz w:val="24"/>
          <w:szCs w:val="24"/>
        </w:rPr>
        <w:t>used to analyze this relationship. Two major finding have emerged</w:t>
      </w:r>
    </w:p>
    <w:p w14:paraId="0CE7616E" w14:textId="77777777" w:rsidR="00070E09" w:rsidRPr="00070E09" w:rsidRDefault="00070E09" w:rsidP="00070E09">
      <w:pPr>
        <w:rPr>
          <w:sz w:val="24"/>
          <w:szCs w:val="24"/>
        </w:rPr>
      </w:pPr>
      <w:r w:rsidRPr="00070E09">
        <w:rPr>
          <w:sz w:val="24"/>
          <w:szCs w:val="24"/>
        </w:rPr>
        <w:t>from the current investigation. First, the board size and separation have</w:t>
      </w:r>
    </w:p>
    <w:p w14:paraId="23917727" w14:textId="77777777" w:rsidR="00070E09" w:rsidRPr="00070E09" w:rsidRDefault="00070E09" w:rsidP="00070E09">
      <w:pPr>
        <w:rPr>
          <w:sz w:val="24"/>
          <w:szCs w:val="24"/>
        </w:rPr>
      </w:pPr>
      <w:r w:rsidRPr="00070E09">
        <w:rPr>
          <w:sz w:val="24"/>
          <w:szCs w:val="24"/>
        </w:rPr>
        <w:t>a statistically significant impact on banks dividends policy. Second,</w:t>
      </w:r>
    </w:p>
    <w:p w14:paraId="1E94E3DE" w14:textId="77777777" w:rsidR="00070E09" w:rsidRPr="00070E09" w:rsidRDefault="00070E09" w:rsidP="00070E09">
      <w:pPr>
        <w:rPr>
          <w:sz w:val="24"/>
          <w:szCs w:val="24"/>
        </w:rPr>
      </w:pPr>
      <w:r w:rsidRPr="00070E09">
        <w:rPr>
          <w:sz w:val="24"/>
          <w:szCs w:val="24"/>
        </w:rPr>
        <w:t>managerial ownership and the independency of the board had no</w:t>
      </w:r>
    </w:p>
    <w:p w14:paraId="50F6872D" w14:textId="77777777" w:rsidR="00070E09" w:rsidRPr="00070E09" w:rsidRDefault="00070E09" w:rsidP="00070E09">
      <w:pPr>
        <w:rPr>
          <w:sz w:val="24"/>
          <w:szCs w:val="24"/>
        </w:rPr>
      </w:pPr>
      <w:r w:rsidRPr="00070E09">
        <w:rPr>
          <w:sz w:val="24"/>
          <w:szCs w:val="24"/>
        </w:rPr>
        <w:t>significant impact on dividends policy. The current paper provides</w:t>
      </w:r>
    </w:p>
    <w:p w14:paraId="1CACA6C9" w14:textId="77777777" w:rsidR="00070E09" w:rsidRPr="00070E09" w:rsidRDefault="00070E09" w:rsidP="00070E09">
      <w:pPr>
        <w:rPr>
          <w:sz w:val="24"/>
          <w:szCs w:val="24"/>
        </w:rPr>
      </w:pPr>
      <w:r w:rsidRPr="00070E09">
        <w:rPr>
          <w:sz w:val="24"/>
          <w:szCs w:val="24"/>
        </w:rPr>
        <w:t>some insights for the extant literature in this field and conveys some</w:t>
      </w:r>
    </w:p>
    <w:p w14:paraId="268733E7" w14:textId="48C3AC41" w:rsidR="00070E09" w:rsidRPr="00070E09" w:rsidRDefault="00070E09" w:rsidP="00070E09">
      <w:pPr>
        <w:rPr>
          <w:sz w:val="24"/>
          <w:szCs w:val="24"/>
        </w:rPr>
      </w:pPr>
      <w:r w:rsidRPr="00070E09">
        <w:rPr>
          <w:sz w:val="24"/>
          <w:szCs w:val="24"/>
        </w:rPr>
        <w:t xml:space="preserve">policy implication for parties of interest. In </w:t>
      </w:r>
      <w:r w:rsidRPr="00070E09">
        <w:rPr>
          <w:sz w:val="24"/>
          <w:szCs w:val="24"/>
        </w:rPr>
        <w:t>addition,</w:t>
      </w:r>
      <w:r w:rsidRPr="00070E09">
        <w:rPr>
          <w:sz w:val="24"/>
          <w:szCs w:val="24"/>
        </w:rPr>
        <w:t xml:space="preserve"> the study</w:t>
      </w:r>
    </w:p>
    <w:p w14:paraId="2BDEF851" w14:textId="77777777" w:rsidR="00070E09" w:rsidRPr="00070E09" w:rsidRDefault="00070E09" w:rsidP="00070E09">
      <w:pPr>
        <w:rPr>
          <w:sz w:val="24"/>
          <w:szCs w:val="24"/>
        </w:rPr>
      </w:pPr>
      <w:r w:rsidRPr="00070E09">
        <w:rPr>
          <w:sz w:val="24"/>
          <w:szCs w:val="24"/>
        </w:rPr>
        <w:t>provides investigation for the association between CG and dividends</w:t>
      </w:r>
    </w:p>
    <w:p w14:paraId="23E8F546" w14:textId="77777777" w:rsidR="00070E09" w:rsidRPr="00070E09" w:rsidRDefault="00070E09" w:rsidP="00070E09">
      <w:pPr>
        <w:rPr>
          <w:sz w:val="24"/>
          <w:szCs w:val="24"/>
        </w:rPr>
      </w:pPr>
      <w:r w:rsidRPr="00070E09">
        <w:rPr>
          <w:sz w:val="24"/>
          <w:szCs w:val="24"/>
        </w:rPr>
        <w:t>policy post the introduction of CG code in Jordan in 2007.So this study</w:t>
      </w:r>
    </w:p>
    <w:p w14:paraId="3B163A99" w14:textId="77777777" w:rsidR="00070E09" w:rsidRPr="00070E09" w:rsidRDefault="00070E09" w:rsidP="00070E09">
      <w:pPr>
        <w:rPr>
          <w:sz w:val="24"/>
          <w:szCs w:val="24"/>
        </w:rPr>
      </w:pPr>
      <w:r w:rsidRPr="00070E09">
        <w:rPr>
          <w:sz w:val="24"/>
          <w:szCs w:val="24"/>
        </w:rPr>
        <w:t>suggest make further research in a cross-country comparative analysis</w:t>
      </w:r>
    </w:p>
    <w:p w14:paraId="5ED2D3F3" w14:textId="77777777" w:rsidR="00070E09" w:rsidRPr="00070E09" w:rsidRDefault="00070E09" w:rsidP="00070E09">
      <w:pPr>
        <w:rPr>
          <w:sz w:val="24"/>
          <w:szCs w:val="24"/>
        </w:rPr>
      </w:pPr>
      <w:r w:rsidRPr="00070E09">
        <w:rPr>
          <w:sz w:val="24"/>
          <w:szCs w:val="24"/>
        </w:rPr>
        <w:t>in order to examine the impact of CG on dividends policy in a</w:t>
      </w:r>
    </w:p>
    <w:p w14:paraId="5919FF59" w14:textId="77777777" w:rsidR="00070E09" w:rsidRPr="00070E09" w:rsidRDefault="00070E09" w:rsidP="00070E09">
      <w:pPr>
        <w:rPr>
          <w:sz w:val="24"/>
          <w:szCs w:val="24"/>
        </w:rPr>
      </w:pPr>
      <w:r w:rsidRPr="00070E09">
        <w:rPr>
          <w:sz w:val="24"/>
          <w:szCs w:val="24"/>
        </w:rPr>
        <w:t>developing country context.</w:t>
      </w:r>
    </w:p>
    <w:p w14:paraId="5565CCA7" w14:textId="77777777" w:rsidR="00070E09" w:rsidRPr="00070E09" w:rsidRDefault="00070E09" w:rsidP="00070E09">
      <w:pPr>
        <w:rPr>
          <w:sz w:val="24"/>
          <w:szCs w:val="24"/>
        </w:rPr>
      </w:pPr>
    </w:p>
    <w:p w14:paraId="3D68FBE8" w14:textId="77777777" w:rsidR="00070E09" w:rsidRPr="00070E09" w:rsidRDefault="00070E09" w:rsidP="00070E09">
      <w:pPr>
        <w:rPr>
          <w:sz w:val="24"/>
          <w:szCs w:val="24"/>
        </w:rPr>
      </w:pPr>
      <w:r w:rsidRPr="00070E09">
        <w:rPr>
          <w:sz w:val="24"/>
          <w:szCs w:val="24"/>
        </w:rPr>
        <w:t>Key words: Corporate Governance, Board Characteristics,</w:t>
      </w:r>
    </w:p>
    <w:p w14:paraId="76E5D6B2" w14:textId="7F94D9EE" w:rsidR="009B6FA1" w:rsidRPr="00070E09" w:rsidRDefault="00070E09" w:rsidP="00070E09">
      <w:pPr>
        <w:rPr>
          <w:sz w:val="24"/>
          <w:szCs w:val="24"/>
        </w:rPr>
      </w:pPr>
      <w:r w:rsidRPr="00070E09">
        <w:rPr>
          <w:sz w:val="24"/>
          <w:szCs w:val="24"/>
        </w:rPr>
        <w:t>Dividends Policy, Jordan.</w:t>
      </w:r>
    </w:p>
    <w:sectPr w:rsidR="009B6FA1" w:rsidRPr="00070E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83"/>
    <w:rsid w:val="00070E09"/>
    <w:rsid w:val="00691083"/>
    <w:rsid w:val="009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79D3"/>
  <w15:chartTrackingRefBased/>
  <w15:docId w15:val="{DE5AE7BA-B2A6-400C-98B0-6684A48A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2019-04-06T19:01:00Z</dcterms:created>
  <dcterms:modified xsi:type="dcterms:W3CDTF">2019-04-06T19:05:00Z</dcterms:modified>
</cp:coreProperties>
</file>