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7E" w:rsidRPr="005E647E" w:rsidRDefault="005E647E" w:rsidP="005E647E">
      <w:pPr>
        <w:pStyle w:val="a3"/>
        <w:bidi/>
        <w:spacing w:before="0" w:beforeAutospacing="0" w:afterAutospacing="0"/>
        <w:jc w:val="center"/>
        <w:rPr>
          <w:b/>
          <w:bCs/>
          <w:color w:val="0D0D0D" w:themeColor="text1" w:themeTint="F2"/>
        </w:rPr>
      </w:pPr>
      <w:r w:rsidRPr="005E647E">
        <w:rPr>
          <w:rFonts w:ascii="Arial" w:hAnsi="Arial" w:cs="Arial"/>
          <w:b/>
          <w:bCs/>
          <w:color w:val="0D0D0D" w:themeColor="text1" w:themeTint="F2"/>
          <w:sz w:val="38"/>
          <w:szCs w:val="38"/>
          <w:rtl/>
        </w:rPr>
        <w:t>حقوق الإنسان بين سيادة الدولة</w:t>
      </w:r>
    </w:p>
    <w:p w:rsidR="005E647E" w:rsidRDefault="005E647E" w:rsidP="005E647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b/>
          <w:bCs/>
          <w:color w:val="0D0D0D" w:themeColor="text1" w:themeTint="F2"/>
          <w:sz w:val="38"/>
          <w:szCs w:val="38"/>
          <w:rtl/>
        </w:rPr>
      </w:pPr>
      <w:r w:rsidRPr="005E647E">
        <w:rPr>
          <w:rFonts w:ascii="Arial" w:hAnsi="Arial" w:cs="Arial"/>
          <w:b/>
          <w:bCs/>
          <w:color w:val="0D0D0D" w:themeColor="text1" w:themeTint="F2"/>
          <w:sz w:val="38"/>
          <w:szCs w:val="38"/>
          <w:rtl/>
        </w:rPr>
        <w:t>والحماية الدولية</w:t>
      </w:r>
    </w:p>
    <w:p w:rsidR="005E647E" w:rsidRPr="005E647E" w:rsidRDefault="005E647E" w:rsidP="005E647E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5E647E">
        <w:rPr>
          <w:rFonts w:ascii="Arial" w:hAnsi="Arial" w:cs="Arial"/>
          <w:b/>
          <w:bCs/>
          <w:color w:val="0D0D0D" w:themeColor="text1" w:themeTint="F2"/>
          <w:sz w:val="38"/>
          <w:szCs w:val="38"/>
          <w:rtl/>
        </w:rPr>
        <w:t xml:space="preserve"> </w:t>
      </w:r>
      <w:r>
        <w:rPr>
          <w:rFonts w:ascii="Arial" w:hAnsi="Arial" w:cs="Arial" w:hint="cs"/>
          <w:b/>
          <w:bCs/>
          <w:color w:val="0D0D0D" w:themeColor="text1" w:themeTint="F2"/>
          <w:sz w:val="38"/>
          <w:szCs w:val="38"/>
          <w:rtl/>
        </w:rPr>
        <w:t>(</w:t>
      </w:r>
      <w:r w:rsidRPr="005E647E">
        <w:rPr>
          <w:rFonts w:ascii="Arial" w:hAnsi="Arial" w:cs="Arial"/>
          <w:b/>
          <w:bCs/>
          <w:color w:val="0D0D0D" w:themeColor="text1" w:themeTint="F2"/>
          <w:sz w:val="38"/>
          <w:szCs w:val="38"/>
          <w:rtl/>
        </w:rPr>
        <w:t>الاتجاهات التشريعية والتطبيقية)</w:t>
      </w:r>
    </w:p>
    <w:p w:rsidR="005E647E" w:rsidRPr="005E647E" w:rsidRDefault="005E647E" w:rsidP="005E647E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5E647E">
        <w:rPr>
          <w:rFonts w:ascii="Arial" w:hAnsi="Arial" w:cs="Arial"/>
          <w:color w:val="0D0D0D" w:themeColor="text1" w:themeTint="F2"/>
          <w:sz w:val="20"/>
          <w:szCs w:val="20"/>
          <w:rtl/>
        </w:rPr>
        <w:t>وليد فؤاد المحامين</w:t>
      </w:r>
    </w:p>
    <w:p w:rsidR="005E647E" w:rsidRPr="005E647E" w:rsidRDefault="005E647E" w:rsidP="005E647E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5E647E">
        <w:rPr>
          <w:rFonts w:ascii="Arial" w:hAnsi="Arial" w:cs="Arial"/>
          <w:color w:val="0D0D0D" w:themeColor="text1" w:themeTint="F2"/>
          <w:sz w:val="22"/>
          <w:szCs w:val="22"/>
          <w:rtl/>
        </w:rPr>
        <w:t>تاريخ تقديم البحث:</w:t>
      </w:r>
      <w:r w:rsidRPr="005E647E">
        <w:rPr>
          <w:rFonts w:ascii="Arial" w:hAnsi="Arial" w:cs="Arial"/>
          <w:color w:val="0D0D0D" w:themeColor="text1" w:themeTint="F2"/>
          <w:sz w:val="22"/>
          <w:szCs w:val="22"/>
          <w:rtl/>
          <w:lang w:bidi="fa-IR"/>
        </w:rPr>
        <w:t xml:space="preserve"> ۲۰۱۰ / ۹ / ۱</w:t>
      </w:r>
      <w:r>
        <w:rPr>
          <w:rFonts w:hint="cs"/>
          <w:color w:val="0D0D0D" w:themeColor="text1" w:themeTint="F2"/>
          <w:rtl/>
        </w:rPr>
        <w:t xml:space="preserve">                                        </w:t>
      </w:r>
      <w:r w:rsidRPr="005E647E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تاريخ قبوله للنشر: 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  <w:lang w:bidi="fa-IR"/>
        </w:rPr>
        <w:t>11/1/2011</w:t>
      </w:r>
    </w:p>
    <w:p w:rsidR="005E647E" w:rsidRPr="005E647E" w:rsidRDefault="005E647E" w:rsidP="005E647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b/>
          <w:bCs/>
          <w:color w:val="0D0D0D" w:themeColor="text1" w:themeTint="F2"/>
          <w:sz w:val="22"/>
          <w:szCs w:val="22"/>
          <w:rtl/>
        </w:rPr>
      </w:pPr>
      <w:r w:rsidRPr="005E647E">
        <w:rPr>
          <w:rFonts w:ascii="Arial" w:hAnsi="Arial" w:cs="Arial"/>
          <w:b/>
          <w:bCs/>
          <w:color w:val="0D0D0D" w:themeColor="text1" w:themeTint="F2"/>
          <w:sz w:val="22"/>
          <w:szCs w:val="22"/>
          <w:rtl/>
        </w:rPr>
        <w:t>ملخص</w:t>
      </w:r>
    </w:p>
    <w:p w:rsidR="005E647E" w:rsidRDefault="005E647E" w:rsidP="005E647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5E647E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يقوم الجزء الأول من الدراسة الموسومة ب «حقوق الإنسان بين سيادة الدولة والحماية الدولية»، </w:t>
      </w:r>
    </w:p>
    <w:p w:rsidR="005E647E" w:rsidRDefault="005E647E" w:rsidP="005E647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5E647E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والذي سوف يتبعه استكمالا جزء آخر تحت عنوان: «أثر الحماية الدولية لحقوق الإنسان على سيادة </w:t>
      </w:r>
    </w:p>
    <w:p w:rsidR="005E647E" w:rsidRDefault="005E647E" w:rsidP="005E647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5E647E">
        <w:rPr>
          <w:rFonts w:ascii="Arial" w:hAnsi="Arial" w:cs="Arial"/>
          <w:color w:val="0D0D0D" w:themeColor="text1" w:themeTint="F2"/>
          <w:sz w:val="22"/>
          <w:szCs w:val="22"/>
          <w:rtl/>
        </w:rPr>
        <w:t>الدولة»</w:t>
      </w:r>
      <w:r w:rsidR="00F707F7">
        <w:rPr>
          <w:rFonts w:ascii="Arial" w:hAnsi="Arial" w:cs="Arial" w:hint="cs"/>
          <w:color w:val="0D0D0D" w:themeColor="text1" w:themeTint="F2"/>
          <w:sz w:val="22"/>
          <w:szCs w:val="22"/>
          <w:rtl/>
        </w:rPr>
        <w:t xml:space="preserve"> </w:t>
      </w:r>
      <w:r w:rsidRPr="005E647E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على نظرة ثلاثية الأبعاد، حماية حقوق الإنسان من حيث الاتجاهات التشريعية والتطبيقية . </w:t>
      </w:r>
    </w:p>
    <w:p w:rsidR="005E647E" w:rsidRDefault="005E647E" w:rsidP="005E647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5E647E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والدور القانوني والمادي للأمم المتحدة في تحقيق المصلحة الدولية العامة وسيادة الدولة. وتستند على </w:t>
      </w:r>
    </w:p>
    <w:p w:rsidR="005E647E" w:rsidRDefault="005E647E" w:rsidP="005E647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5E647E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القراءة القانونية لنص المادة </w:t>
      </w:r>
      <w:r w:rsidRPr="005E647E">
        <w:rPr>
          <w:rFonts w:ascii="Arial" w:hAnsi="Arial" w:cs="Arial"/>
          <w:color w:val="0D0D0D" w:themeColor="text1" w:themeTint="F2"/>
          <w:sz w:val="22"/>
          <w:szCs w:val="22"/>
          <w:rtl/>
          <w:lang w:bidi="fa-IR"/>
        </w:rPr>
        <w:t>۲</w:t>
      </w:r>
      <w:r w:rsidRPr="005E647E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فقرة</w:t>
      </w:r>
      <w:r w:rsidR="00F707F7">
        <w:rPr>
          <w:rFonts w:ascii="Arial" w:hAnsi="Arial" w:cs="Arial" w:hint="cs"/>
          <w:color w:val="0D0D0D" w:themeColor="text1" w:themeTint="F2"/>
          <w:sz w:val="22"/>
          <w:szCs w:val="22"/>
          <w:rtl/>
        </w:rPr>
        <w:t xml:space="preserve"> 7</w:t>
      </w:r>
      <w:r w:rsidRPr="005E647E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في ضوء بعدها الموضوعي ومدلولها القانوني، بغرض إبراز </w:t>
      </w:r>
    </w:p>
    <w:p w:rsidR="005E647E" w:rsidRDefault="00F707F7" w:rsidP="005E647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الأسس التنظيمية </w:t>
      </w:r>
      <w:r w:rsidR="005E647E" w:rsidRPr="005E647E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لعلاقة حماية حقوق الإنسان بسيادة الدولة، ساعية إلى بيان الاتجاهات القانونية </w:t>
      </w:r>
    </w:p>
    <w:p w:rsidR="005E647E" w:rsidRDefault="005E647E" w:rsidP="005E647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5E647E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المختلفة و تفسير نص هذه المادة، ومتركزة على إسناد الافتراض النظري بالأمثلة الواقعية للتدخل </w:t>
      </w:r>
    </w:p>
    <w:p w:rsidR="005E647E" w:rsidRDefault="005E647E" w:rsidP="005E647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5E647E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لحماية حقوق </w:t>
      </w:r>
      <w:r w:rsidR="00F707F7">
        <w:rPr>
          <w:rFonts w:ascii="Arial" w:hAnsi="Arial" w:cs="Arial"/>
          <w:color w:val="0D0D0D" w:themeColor="text1" w:themeTint="F2"/>
          <w:sz w:val="22"/>
          <w:szCs w:val="22"/>
          <w:rtl/>
        </w:rPr>
        <w:t>الإنسان واستخلاص النتائج بشأنها</w:t>
      </w:r>
      <w:r w:rsidRPr="005E647E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محاولة الإثبات القانوني بأن حماية حقوق الإنسان </w:t>
      </w:r>
    </w:p>
    <w:p w:rsidR="005E647E" w:rsidRDefault="00F707F7" w:rsidP="005E647E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>أمس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ت</w:t>
      </w:r>
      <w:r w:rsidR="005E647E" w:rsidRPr="005E647E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قاعدة قانونية قائمة بذاتها منفردة بخصائص تستقل عن المعيار المرسخ في نص المادة </w:t>
      </w:r>
      <w:r w:rsidR="005E647E" w:rsidRPr="005E647E">
        <w:rPr>
          <w:rFonts w:ascii="Arial" w:hAnsi="Arial" w:cs="Arial"/>
          <w:color w:val="0D0D0D" w:themeColor="text1" w:themeTint="F2"/>
          <w:sz w:val="22"/>
          <w:szCs w:val="22"/>
          <w:rtl/>
          <w:lang w:bidi="fa-IR"/>
        </w:rPr>
        <w:t>۲</w:t>
      </w:r>
      <w:r w:rsidR="005E647E" w:rsidRPr="005E647E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</w:t>
      </w:r>
    </w:p>
    <w:p w:rsidR="005E647E" w:rsidRPr="005E647E" w:rsidRDefault="005E647E" w:rsidP="005E647E">
      <w:pPr>
        <w:pStyle w:val="a3"/>
        <w:bidi/>
        <w:spacing w:before="0" w:beforeAutospacing="0" w:afterAutospacing="0"/>
        <w:jc w:val="center"/>
        <w:rPr>
          <w:rFonts w:hint="cs"/>
          <w:color w:val="0D0D0D" w:themeColor="text1" w:themeTint="F2"/>
          <w:rtl/>
        </w:rPr>
      </w:pPr>
      <w:r w:rsidRPr="005E647E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فقرة 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7</w:t>
      </w:r>
      <w:r>
        <w:rPr>
          <w:rFonts w:hint="cs"/>
          <w:color w:val="0D0D0D" w:themeColor="text1" w:themeTint="F2"/>
          <w:rtl/>
        </w:rPr>
        <w:t>.</w:t>
      </w:r>
    </w:p>
    <w:p w:rsidR="005E647E" w:rsidRPr="005E647E" w:rsidRDefault="005E647E" w:rsidP="005E647E">
      <w:pPr>
        <w:pStyle w:val="a3"/>
        <w:spacing w:before="0" w:beforeAutospacing="0" w:afterAutospacing="0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5E647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Abstract </w:t>
      </w:r>
    </w:p>
    <w:p w:rsidR="005E647E" w:rsidRPr="005E647E" w:rsidRDefault="005E647E" w:rsidP="005E647E">
      <w:pPr>
        <w:pStyle w:val="a3"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5E647E">
        <w:rPr>
          <w:rFonts w:ascii="Arial" w:hAnsi="Arial" w:cs="Arial"/>
          <w:color w:val="0D0D0D" w:themeColor="text1" w:themeTint="F2"/>
        </w:rPr>
        <w:t>The first part of this study is titled Human Rights between</w:t>
      </w:r>
    </w:p>
    <w:p w:rsidR="005E647E" w:rsidRDefault="005E647E" w:rsidP="005E647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5E647E">
        <w:rPr>
          <w:rFonts w:ascii="Arial" w:hAnsi="Arial" w:cs="Arial"/>
          <w:color w:val="0D0D0D" w:themeColor="text1" w:themeTint="F2"/>
        </w:rPr>
        <w:t xml:space="preserve">the Concept of State Sovereignty and the Concept of </w:t>
      </w:r>
    </w:p>
    <w:p w:rsidR="005E647E" w:rsidRDefault="005E647E" w:rsidP="005E647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5E647E">
        <w:rPr>
          <w:rFonts w:ascii="Arial" w:hAnsi="Arial" w:cs="Arial"/>
          <w:color w:val="0D0D0D" w:themeColor="text1" w:themeTint="F2"/>
        </w:rPr>
        <w:t xml:space="preserve">International Protection and that will be followed shortly </w:t>
      </w:r>
    </w:p>
    <w:p w:rsidR="005E647E" w:rsidRDefault="005E647E" w:rsidP="005E647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5E647E">
        <w:rPr>
          <w:rFonts w:ascii="Arial" w:hAnsi="Arial" w:cs="Arial"/>
          <w:color w:val="0D0D0D" w:themeColor="text1" w:themeTint="F2"/>
        </w:rPr>
        <w:t xml:space="preserve">be another study titled The Legal Consequences of Human </w:t>
      </w:r>
    </w:p>
    <w:p w:rsidR="005E647E" w:rsidRDefault="005E647E" w:rsidP="005E647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5E647E">
        <w:rPr>
          <w:rFonts w:ascii="Arial" w:hAnsi="Arial" w:cs="Arial"/>
          <w:color w:val="0D0D0D" w:themeColor="text1" w:themeTint="F2"/>
        </w:rPr>
        <w:t xml:space="preserve">is mainly based on Rights Protection on State Sovereignty </w:t>
      </w:r>
    </w:p>
    <w:p w:rsidR="005E647E" w:rsidRDefault="005E647E" w:rsidP="005E647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5E647E">
        <w:rPr>
          <w:rFonts w:ascii="Arial" w:hAnsi="Arial" w:cs="Arial"/>
          <w:color w:val="0D0D0D" w:themeColor="text1" w:themeTint="F2"/>
        </w:rPr>
        <w:t xml:space="preserve">the triangular analysis: Human rights protection according </w:t>
      </w:r>
    </w:p>
    <w:p w:rsidR="005E647E" w:rsidRDefault="005E647E" w:rsidP="005E647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5E647E">
        <w:rPr>
          <w:rFonts w:ascii="Arial" w:hAnsi="Arial" w:cs="Arial"/>
          <w:color w:val="0D0D0D" w:themeColor="text1" w:themeTint="F2"/>
        </w:rPr>
        <w:t xml:space="preserve">to the legislative and application processes the legal role </w:t>
      </w:r>
    </w:p>
    <w:p w:rsidR="005E647E" w:rsidRDefault="005E647E" w:rsidP="005E647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5E647E">
        <w:rPr>
          <w:rFonts w:ascii="Arial" w:hAnsi="Arial" w:cs="Arial"/>
          <w:color w:val="0D0D0D" w:themeColor="text1" w:themeTint="F2"/>
        </w:rPr>
        <w:t xml:space="preserve">that is accorded to the United Nations in determining the </w:t>
      </w:r>
    </w:p>
    <w:p w:rsidR="005E647E" w:rsidRDefault="005E647E" w:rsidP="005E647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5E647E">
        <w:rPr>
          <w:rFonts w:ascii="Arial" w:hAnsi="Arial" w:cs="Arial"/>
          <w:color w:val="0D0D0D" w:themeColor="text1" w:themeTint="F2"/>
        </w:rPr>
        <w:t xml:space="preserve">international benefits and that of states sovereignties. This </w:t>
      </w:r>
    </w:p>
    <w:p w:rsidR="005E647E" w:rsidRDefault="005E647E" w:rsidP="005E647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5E647E">
        <w:rPr>
          <w:rFonts w:ascii="Arial" w:hAnsi="Arial" w:cs="Arial"/>
          <w:color w:val="0D0D0D" w:themeColor="text1" w:themeTint="F2"/>
        </w:rPr>
        <w:t xml:space="preserve">of the 7/will largely depend on a critical analysis of Article 2 </w:t>
      </w:r>
    </w:p>
    <w:p w:rsidR="005E647E" w:rsidRDefault="005E647E" w:rsidP="005E647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5E647E">
        <w:rPr>
          <w:rFonts w:ascii="Arial" w:hAnsi="Arial" w:cs="Arial"/>
          <w:color w:val="0D0D0D" w:themeColor="text1" w:themeTint="F2"/>
        </w:rPr>
        <w:t xml:space="preserve">UN Charter but in fashion that will reflect the relation of </w:t>
      </w:r>
    </w:p>
    <w:p w:rsidR="005E647E" w:rsidRDefault="005E647E" w:rsidP="005E647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5E647E">
        <w:rPr>
          <w:rFonts w:ascii="Arial" w:hAnsi="Arial" w:cs="Arial"/>
          <w:color w:val="0D0D0D" w:themeColor="text1" w:themeTint="F2"/>
        </w:rPr>
        <w:t xml:space="preserve">the concept human rights protection to the concept of state </w:t>
      </w:r>
    </w:p>
    <w:p w:rsidR="005E647E" w:rsidRDefault="005E647E" w:rsidP="005E647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5E647E">
        <w:rPr>
          <w:rFonts w:ascii="Arial" w:hAnsi="Arial" w:cs="Arial"/>
          <w:color w:val="0D0D0D" w:themeColor="text1" w:themeTint="F2"/>
        </w:rPr>
        <w:t xml:space="preserve">sovereignty. It goes without saying that the main focus of </w:t>
      </w:r>
    </w:p>
    <w:p w:rsidR="005E647E" w:rsidRDefault="005E647E" w:rsidP="005E647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5E647E">
        <w:rPr>
          <w:rFonts w:ascii="Arial" w:hAnsi="Arial" w:cs="Arial"/>
          <w:color w:val="0D0D0D" w:themeColor="text1" w:themeTint="F2"/>
        </w:rPr>
        <w:t xml:space="preserve">this research will depend on a case study bases to prove that </w:t>
      </w:r>
    </w:p>
    <w:p w:rsidR="005E647E" w:rsidRDefault="005E647E" w:rsidP="005E647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5E647E">
        <w:rPr>
          <w:rFonts w:ascii="Arial" w:hAnsi="Arial" w:cs="Arial"/>
          <w:color w:val="0D0D0D" w:themeColor="text1" w:themeTint="F2"/>
        </w:rPr>
        <w:t xml:space="preserve">human protection as a rule has become a principle of its own </w:t>
      </w:r>
    </w:p>
    <w:p w:rsidR="005E647E" w:rsidRDefault="005E647E" w:rsidP="005E647E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5E647E">
        <w:rPr>
          <w:rFonts w:ascii="Arial" w:hAnsi="Arial" w:cs="Arial"/>
          <w:color w:val="0D0D0D" w:themeColor="text1" w:themeTint="F2"/>
        </w:rPr>
        <w:t>that processes the characteristics to be considered aloof. i.e. .</w:t>
      </w:r>
    </w:p>
    <w:p w:rsidR="005E647E" w:rsidRPr="005E647E" w:rsidRDefault="005E647E" w:rsidP="005E647E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5E647E">
        <w:rPr>
          <w:rFonts w:ascii="Arial" w:hAnsi="Arial" w:cs="Arial"/>
          <w:color w:val="0D0D0D" w:themeColor="text1" w:themeTint="F2"/>
        </w:rPr>
        <w:t>7/it should not be considered in conjunction with Article 2</w:t>
      </w:r>
    </w:p>
    <w:p w:rsidR="00FC56E9" w:rsidRPr="005E647E" w:rsidRDefault="00FC56E9" w:rsidP="005E647E">
      <w:pPr>
        <w:jc w:val="center"/>
        <w:rPr>
          <w:rFonts w:hint="cs"/>
          <w:color w:val="0D0D0D" w:themeColor="text1" w:themeTint="F2"/>
        </w:rPr>
      </w:pPr>
    </w:p>
    <w:sectPr w:rsidR="00FC56E9" w:rsidRPr="005E647E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5E647E"/>
    <w:rsid w:val="00241C81"/>
    <w:rsid w:val="005E647E"/>
    <w:rsid w:val="00801E91"/>
    <w:rsid w:val="00D1135F"/>
    <w:rsid w:val="00DD49B9"/>
    <w:rsid w:val="00F707F7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4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2019-04-01T13:51:00Z</dcterms:created>
  <dcterms:modified xsi:type="dcterms:W3CDTF">2019-04-01T14:06:00Z</dcterms:modified>
</cp:coreProperties>
</file>