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7FF" w:rsidRDefault="00DD17FF" w:rsidP="00CA3E2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0" w:name="_GoBack"/>
      <w:bookmarkEnd w:id="0"/>
    </w:p>
    <w:p w:rsidR="00CA3E23" w:rsidRDefault="00CA3E23" w:rsidP="00CA3E23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after="100"/>
        <w:rPr>
          <w:rFonts w:ascii="Times New Roman" w:eastAsia="Times New Roman" w:hAnsi="Times New Roman" w:cs="Times New Roman"/>
          <w:b/>
          <w:color w:val="6D6D00"/>
          <w:sz w:val="32"/>
          <w:szCs w:val="32"/>
        </w:rPr>
      </w:pPr>
    </w:p>
    <w:p w:rsidR="00DD17FF" w:rsidRPr="00CA3E23" w:rsidRDefault="00296306" w:rsidP="00CA3E23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after="100"/>
        <w:rPr>
          <w:rFonts w:ascii="Times New Roman" w:eastAsia="Times New Roman" w:hAnsi="Times New Roman" w:cs="Times New Roman"/>
          <w:bCs/>
          <w:color w:val="6D6D00"/>
          <w:sz w:val="32"/>
          <w:szCs w:val="32"/>
        </w:rPr>
      </w:pPr>
      <w:r w:rsidRPr="00CA3E23">
        <w:rPr>
          <w:rFonts w:ascii="Times New Roman" w:eastAsia="Times New Roman" w:hAnsi="Times New Roman" w:cs="Times New Roman"/>
          <w:bCs/>
          <w:color w:val="6D6D00"/>
          <w:sz w:val="32"/>
          <w:szCs w:val="32"/>
          <w:rtl/>
        </w:rPr>
        <w:t>الخلاصة والتوصيات</w:t>
      </w:r>
    </w:p>
    <w:p w:rsidR="00CA3E23" w:rsidRPr="00CA3E23" w:rsidRDefault="00CA3E23" w:rsidP="00CA3E23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after="100"/>
        <w:rPr>
          <w:rFonts w:ascii="Times New Roman" w:eastAsia="Times New Roman" w:hAnsi="Times New Roman" w:cs="Times New Roman"/>
          <w:b/>
          <w:color w:val="6D6D00"/>
          <w:sz w:val="28"/>
          <w:szCs w:val="28"/>
        </w:rPr>
      </w:pPr>
    </w:p>
    <w:p w:rsidR="00CA3E23" w:rsidRPr="00CA3E23" w:rsidRDefault="00296306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after="100"/>
        <w:rPr>
          <w:color w:val="6F6900"/>
          <w:sz w:val="36"/>
          <w:szCs w:val="36"/>
        </w:rPr>
      </w:pPr>
      <w:r w:rsidRPr="00CA3E23">
        <w:rPr>
          <w:color w:val="6F6900"/>
          <w:sz w:val="36"/>
          <w:szCs w:val="36"/>
          <w:rtl/>
        </w:rPr>
        <w:t>خلصت الدراسة إلى ما يلي :</w:t>
      </w:r>
    </w:p>
    <w:p w:rsidR="00CA3E23" w:rsidRDefault="00296306" w:rsidP="00CA3E23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after="100"/>
        <w:rPr>
          <w:rFonts w:hint="cs"/>
          <w:color w:val="635D00"/>
          <w:sz w:val="32"/>
          <w:szCs w:val="32"/>
          <w:rtl/>
        </w:rPr>
      </w:pPr>
      <w:r w:rsidRPr="00CA3E23">
        <w:rPr>
          <w:color w:val="6F6900"/>
          <w:sz w:val="36"/>
          <w:szCs w:val="36"/>
          <w:rtl/>
        </w:rPr>
        <w:t xml:space="preserve"> </w:t>
      </w:r>
      <w:r w:rsidR="00CA3E23">
        <w:rPr>
          <w:rFonts w:hint="cs"/>
          <w:color w:val="6F6900"/>
          <w:sz w:val="36"/>
          <w:szCs w:val="36"/>
          <w:rtl/>
        </w:rPr>
        <w:t>1</w:t>
      </w:r>
      <w:r w:rsidRPr="00CA3E23">
        <w:rPr>
          <w:color w:val="6F6900"/>
          <w:sz w:val="36"/>
          <w:szCs w:val="36"/>
          <w:rtl/>
        </w:rPr>
        <w:t xml:space="preserve">- </w:t>
      </w:r>
      <w:r w:rsidRPr="00CA3E23">
        <w:rPr>
          <w:color w:val="6F6900"/>
          <w:sz w:val="36"/>
          <w:szCs w:val="36"/>
          <w:rtl/>
        </w:rPr>
        <w:t>على الرغم من كافة الجهود المبذولة للنهوض بقطاع الزراعة الا أن هذا القطاع لا</w:t>
      </w:r>
      <w:r w:rsidRPr="00CA3E23">
        <w:rPr>
          <w:color w:val="635D00"/>
          <w:sz w:val="32"/>
          <w:szCs w:val="32"/>
          <w:rtl/>
        </w:rPr>
        <w:t>يزال متعثرة من حيث مساهمته في الناتج المحلي الإجمالي واجتذابه للعمالة المحلية وكونه رافدة</w:t>
      </w:r>
      <w:r w:rsidRPr="00CA3E23">
        <w:rPr>
          <w:color w:val="635D00"/>
          <w:sz w:val="32"/>
          <w:szCs w:val="32"/>
          <w:rtl/>
        </w:rPr>
        <w:t xml:space="preserve"> للميزان التجاري الأردني ( خفض المستوردات الزراعية وزيادة الصادرات</w:t>
      </w:r>
    </w:p>
    <w:p w:rsidR="00CA3E23" w:rsidRPr="00CA3E23" w:rsidRDefault="00CA3E23" w:rsidP="00CA3E23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after="100"/>
        <w:rPr>
          <w:b/>
          <w:color w:val="625C00"/>
          <w:sz w:val="28"/>
          <w:szCs w:val="28"/>
        </w:rPr>
      </w:pPr>
      <w:r w:rsidRPr="00CA3E23">
        <w:rPr>
          <w:color w:val="6F6900"/>
          <w:sz w:val="36"/>
          <w:szCs w:val="36"/>
        </w:rPr>
        <w:t xml:space="preserve"> </w:t>
      </w:r>
      <w:r>
        <w:rPr>
          <w:b/>
          <w:color w:val="625C00"/>
          <w:sz w:val="28"/>
          <w:szCs w:val="28"/>
          <w:rtl/>
        </w:rPr>
        <w:t>منها</w:t>
      </w:r>
      <w:r w:rsidR="00296306" w:rsidRPr="00CA3E23">
        <w:rPr>
          <w:b/>
          <w:color w:val="625C00"/>
          <w:sz w:val="28"/>
          <w:szCs w:val="28"/>
          <w:rtl/>
        </w:rPr>
        <w:t>)</w:t>
      </w:r>
      <w:r w:rsidRPr="00CA3E23">
        <w:rPr>
          <w:b/>
          <w:color w:val="625C00"/>
          <w:sz w:val="28"/>
          <w:szCs w:val="28"/>
        </w:rPr>
        <w:t xml:space="preserve"> .</w:t>
      </w:r>
    </w:p>
    <w:p w:rsidR="00DD17FF" w:rsidRPr="00CA3E23" w:rsidRDefault="00296306" w:rsidP="00CA3E23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after="100"/>
        <w:rPr>
          <w:color w:val="6F6900"/>
          <w:sz w:val="36"/>
          <w:szCs w:val="36"/>
        </w:rPr>
      </w:pPr>
      <w:r w:rsidRPr="00CA3E23">
        <w:rPr>
          <w:b/>
          <w:color w:val="625C00"/>
          <w:sz w:val="28"/>
          <w:szCs w:val="28"/>
          <w:rtl/>
        </w:rPr>
        <w:t xml:space="preserve"> </w:t>
      </w:r>
      <w:r w:rsidR="00CA3E23">
        <w:rPr>
          <w:rFonts w:hint="cs"/>
          <w:b/>
          <w:color w:val="625C00"/>
          <w:sz w:val="28"/>
          <w:szCs w:val="28"/>
          <w:rtl/>
        </w:rPr>
        <w:t>2</w:t>
      </w:r>
      <w:r w:rsidRPr="00CA3E23">
        <w:rPr>
          <w:b/>
          <w:color w:val="625C00"/>
          <w:sz w:val="28"/>
          <w:szCs w:val="28"/>
          <w:rtl/>
        </w:rPr>
        <w:t>- على الرغم من وجود مؤسسات إقراض زراعية متخصصة ( مؤسسة الإقراض</w:t>
      </w:r>
    </w:p>
    <w:p w:rsidR="00CA3E23" w:rsidRPr="00CA3E23" w:rsidRDefault="00296306" w:rsidP="00CA3E23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after="100"/>
        <w:rPr>
          <w:color w:val="5E5800"/>
          <w:sz w:val="32"/>
          <w:szCs w:val="32"/>
        </w:rPr>
      </w:pPr>
      <w:r w:rsidRPr="00CA3E23">
        <w:rPr>
          <w:color w:val="5E5800"/>
          <w:sz w:val="32"/>
          <w:szCs w:val="32"/>
          <w:rtl/>
        </w:rPr>
        <w:t>والمنظمة التعاونية ) الا أن مساهمة هذه المؤسسات في تمويل المشاريع الزراعية هي في تضاؤل مستمر وأن أهميتها في تراجع ويع</w:t>
      </w:r>
      <w:r w:rsidRPr="00CA3E23">
        <w:rPr>
          <w:color w:val="5E5800"/>
          <w:sz w:val="32"/>
          <w:szCs w:val="32"/>
          <w:rtl/>
        </w:rPr>
        <w:t>زى ذلك لعدم قدرة هذه المؤسسات على حشد مدخرات محلية وخاصة في المجتمعات الريفية واعتماد هذه المؤسسات على الاقتراض الداخلي ( حكومي ) والذي غالبا ما يكون عرضة للتقلبات السياسية والاقتصادية . وقد زاد من حدة المشكلة ضعف نسبة التحصيل للقروض الزراعية الممنوحة والت</w:t>
      </w:r>
      <w:r w:rsidRPr="00CA3E23">
        <w:rPr>
          <w:color w:val="5E5800"/>
          <w:sz w:val="32"/>
          <w:szCs w:val="32"/>
          <w:rtl/>
        </w:rPr>
        <w:t>جاء الحكومة في عدة مرات إلى شطب ديون هذه المؤسسات أو تدويرها ومن ثم الغاؤها مما يزيد من المتاعب المالية لهذه المؤسسات .</w:t>
      </w:r>
    </w:p>
    <w:p w:rsidR="00CA3E23" w:rsidRPr="00CA3E23" w:rsidRDefault="00296306" w:rsidP="00CA3E23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after="100"/>
        <w:rPr>
          <w:color w:val="706A00"/>
          <w:sz w:val="32"/>
          <w:szCs w:val="32"/>
        </w:rPr>
      </w:pPr>
      <w:r w:rsidRPr="00CA3E23">
        <w:rPr>
          <w:color w:val="706A00"/>
          <w:sz w:val="32"/>
          <w:szCs w:val="32"/>
          <w:rtl/>
        </w:rPr>
        <w:t xml:space="preserve">وقد نجم عن تفاقم هذه المشاكل إفلاس البنك التعاوني ووضعه تحت التصفية . </w:t>
      </w:r>
    </w:p>
    <w:p w:rsidR="00CA3E23" w:rsidRPr="00CA3E23" w:rsidRDefault="00CA3E23" w:rsidP="00CA3E23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after="100"/>
        <w:rPr>
          <w:color w:val="5C5600"/>
          <w:sz w:val="32"/>
          <w:szCs w:val="32"/>
        </w:rPr>
      </w:pPr>
      <w:r>
        <w:rPr>
          <w:rFonts w:hint="cs"/>
          <w:color w:val="706A00"/>
          <w:sz w:val="32"/>
          <w:szCs w:val="32"/>
          <w:rtl/>
        </w:rPr>
        <w:t>3</w:t>
      </w:r>
      <w:r w:rsidR="00296306" w:rsidRPr="00CA3E23">
        <w:rPr>
          <w:color w:val="706A00"/>
          <w:sz w:val="32"/>
          <w:szCs w:val="32"/>
          <w:rtl/>
        </w:rPr>
        <w:t>- أظهرت الدراسة أن عددا كبيرا من المزارعين لا يتعاملون مع المؤسسا</w:t>
      </w:r>
      <w:r w:rsidR="00296306" w:rsidRPr="00CA3E23">
        <w:rPr>
          <w:color w:val="706A00"/>
          <w:sz w:val="32"/>
          <w:szCs w:val="32"/>
          <w:rtl/>
        </w:rPr>
        <w:t>ت المالية لأسباب</w:t>
      </w:r>
      <w:r w:rsidRPr="00CA3E23">
        <w:rPr>
          <w:color w:val="706A00"/>
          <w:sz w:val="32"/>
          <w:szCs w:val="32"/>
        </w:rPr>
        <w:t xml:space="preserve"> </w:t>
      </w:r>
      <w:r w:rsidR="00296306" w:rsidRPr="00CA3E23">
        <w:rPr>
          <w:color w:val="5C5600"/>
          <w:sz w:val="32"/>
          <w:szCs w:val="32"/>
          <w:rtl/>
        </w:rPr>
        <w:t xml:space="preserve">عديدة كان أهمها : الاعتقاد الديني بحرمة الفوائد وكلفة الاقتراض العالية وإجراءات منح القروض التي تشترط في الغالب تقديم ضمانات وعقود تملك قد لا تتوافر لديهم. </w:t>
      </w:r>
    </w:p>
    <w:p w:rsidR="00CA3E23" w:rsidRPr="00CA3E23" w:rsidRDefault="00CA3E23" w:rsidP="00CA3E23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after="100"/>
        <w:rPr>
          <w:color w:val="5C5600"/>
          <w:sz w:val="32"/>
          <w:szCs w:val="32"/>
        </w:rPr>
      </w:pPr>
      <w:r>
        <w:rPr>
          <w:rFonts w:hint="cs"/>
          <w:color w:val="5C5600"/>
          <w:sz w:val="32"/>
          <w:szCs w:val="32"/>
          <w:rtl/>
        </w:rPr>
        <w:t>4</w:t>
      </w:r>
      <w:r w:rsidR="00296306" w:rsidRPr="00CA3E23">
        <w:rPr>
          <w:color w:val="5C5600"/>
          <w:sz w:val="32"/>
          <w:szCs w:val="32"/>
          <w:rtl/>
        </w:rPr>
        <w:t>- تخالف الدراسة الاعتقاد السائد بأن صغار المزارعين في منطقة اربد لا يستطيعون الحصول</w:t>
      </w:r>
      <w:r w:rsidR="00296306" w:rsidRPr="00CA3E23">
        <w:rPr>
          <w:color w:val="5C5600"/>
          <w:sz w:val="32"/>
          <w:szCs w:val="32"/>
          <w:rtl/>
        </w:rPr>
        <w:t xml:space="preserve"> على قروض زراعية وقد وجد أن ۲ر۸۶ ٪ من حجم الإقراض الزراعي قد</w:t>
      </w:r>
      <w:r w:rsidRPr="00CA3E23">
        <w:rPr>
          <w:color w:val="706A00"/>
          <w:sz w:val="32"/>
          <w:szCs w:val="32"/>
        </w:rPr>
        <w:t xml:space="preserve"> </w:t>
      </w:r>
      <w:r w:rsidR="00296306" w:rsidRPr="00CA3E23">
        <w:rPr>
          <w:color w:val="5F5900"/>
          <w:sz w:val="32"/>
          <w:szCs w:val="32"/>
          <w:rtl/>
        </w:rPr>
        <w:t xml:space="preserve">حصل عليه المزارعون الذين يملكون 50 دونما أو أقل </w:t>
      </w:r>
    </w:p>
    <w:p w:rsidR="00DD17FF" w:rsidRPr="00CA3E23" w:rsidRDefault="00CA3E23" w:rsidP="00CA3E23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after="100"/>
        <w:rPr>
          <w:color w:val="5F5900"/>
          <w:sz w:val="32"/>
          <w:szCs w:val="32"/>
        </w:rPr>
      </w:pPr>
      <w:r w:rsidRPr="00CA3E23">
        <w:rPr>
          <w:color w:val="5F5900"/>
          <w:sz w:val="32"/>
          <w:szCs w:val="32"/>
        </w:rPr>
        <w:t>5</w:t>
      </w:r>
      <w:r w:rsidR="00296306" w:rsidRPr="00CA3E23">
        <w:rPr>
          <w:color w:val="5F5900"/>
          <w:sz w:val="32"/>
          <w:szCs w:val="32"/>
          <w:rtl/>
        </w:rPr>
        <w:t>- على الرغم من الاعتقاد السائد بأن البنوك التجارية لا تشجع منح قروض زراعية لأنها</w:t>
      </w:r>
    </w:p>
    <w:p w:rsidR="00DD17FF" w:rsidRPr="00CA3E23" w:rsidRDefault="00296306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after="100"/>
        <w:rPr>
          <w:color w:val="565000"/>
          <w:sz w:val="32"/>
          <w:szCs w:val="32"/>
        </w:rPr>
      </w:pPr>
      <w:r w:rsidRPr="00CA3E23">
        <w:rPr>
          <w:color w:val="565000"/>
          <w:sz w:val="32"/>
          <w:szCs w:val="32"/>
          <w:rtl/>
        </w:rPr>
        <w:t xml:space="preserve">تتميز بدرجة عالية من الخطورة إلا أن الدلائل تشير إلى ازدياد حجم </w:t>
      </w:r>
      <w:r w:rsidRPr="00CA3E23">
        <w:rPr>
          <w:color w:val="565000"/>
          <w:sz w:val="32"/>
          <w:szCs w:val="32"/>
          <w:rtl/>
        </w:rPr>
        <w:t>القروض</w:t>
      </w:r>
    </w:p>
    <w:p w:rsidR="00DD17FF" w:rsidRDefault="0029630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color w:val="958F00"/>
          <w:sz w:val="18"/>
          <w:szCs w:val="18"/>
        </w:rPr>
      </w:pPr>
      <w:r>
        <w:rPr>
          <w:color w:val="958F00"/>
          <w:sz w:val="18"/>
          <w:szCs w:val="18"/>
        </w:rPr>
        <w:t xml:space="preserve">- </w:t>
      </w:r>
      <w:r>
        <w:rPr>
          <w:color w:val="958F00"/>
          <w:sz w:val="18"/>
          <w:szCs w:val="18"/>
          <w:rtl/>
        </w:rPr>
        <w:t>۷۵</w:t>
      </w:r>
      <w:r>
        <w:rPr>
          <w:color w:val="958F00"/>
          <w:sz w:val="18"/>
          <w:szCs w:val="18"/>
        </w:rPr>
        <w:t xml:space="preserve"> -</w:t>
      </w:r>
    </w:p>
    <w:sectPr w:rsidR="00DD17FF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/>
  <w:defaultTabStop w:val="720"/>
  <w:characterSpacingControl w:val="doNotCompress"/>
  <w:compat>
    <w:compatSetting w:name="compatibilityMode" w:uri="http://schemas.microsoft.com/office/word" w:val="14"/>
  </w:compat>
  <w:rsids>
    <w:rsidRoot w:val="00DD17FF"/>
    <w:rsid w:val="00296306"/>
    <w:rsid w:val="00CA3E23"/>
    <w:rsid w:val="00DD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Char"/>
    <w:uiPriority w:val="99"/>
    <w:semiHidden/>
    <w:unhideWhenUsed/>
    <w:rsid w:val="00CA3E2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CA3E2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A3E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Char"/>
    <w:uiPriority w:val="99"/>
    <w:semiHidden/>
    <w:unhideWhenUsed/>
    <w:rsid w:val="00CA3E2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CA3E2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A3E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احمد بريكه</dc:creator>
  <cp:lastModifiedBy>PCC</cp:lastModifiedBy>
  <cp:revision>4</cp:revision>
  <dcterms:created xsi:type="dcterms:W3CDTF">2019-03-28T19:26:00Z</dcterms:created>
  <dcterms:modified xsi:type="dcterms:W3CDTF">2019-03-28T19:26:00Z</dcterms:modified>
</cp:coreProperties>
</file>