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54F2" w14:textId="77777777" w:rsidR="00911653" w:rsidRPr="00B27252" w:rsidRDefault="00911653" w:rsidP="00911653">
      <w:pPr>
        <w:bidi w:val="0"/>
        <w:rPr>
          <w:rFonts w:ascii="Arial" w:hAnsi="Arial" w:cs="Arial"/>
          <w:b/>
          <w:bCs/>
          <w:noProof/>
          <w:sz w:val="32"/>
          <w:szCs w:val="32"/>
          <w:lang w:bidi="ar-SY"/>
        </w:rPr>
      </w:pPr>
      <w:r>
        <w:rPr>
          <w:rFonts w:ascii="Arial" w:hAnsi="Arial" w:cs="Arial"/>
          <w:b/>
          <w:bCs/>
          <w:noProof/>
          <w:sz w:val="32"/>
          <w:szCs w:val="32"/>
          <w:lang w:bidi="ar-SY"/>
        </w:rPr>
        <w:t xml:space="preserve">0903408 </w:t>
      </w:r>
      <w:r w:rsidRPr="00B27252">
        <w:rPr>
          <w:rFonts w:ascii="Arial" w:hAnsi="Arial" w:cs="Arial"/>
          <w:b/>
          <w:bCs/>
          <w:noProof/>
          <w:sz w:val="32"/>
          <w:szCs w:val="32"/>
          <w:lang w:bidi="ar-SY"/>
        </w:rPr>
        <w:t>Professional Practice</w:t>
      </w:r>
      <w:r w:rsidRPr="00B27252">
        <w:rPr>
          <w:rFonts w:ascii="Arial" w:hAnsi="Arial" w:cs="Arial"/>
          <w:b/>
          <w:bCs/>
          <w:noProof/>
          <w:sz w:val="32"/>
          <w:szCs w:val="32"/>
          <w:rtl/>
          <w:lang w:bidi="ar-SY"/>
        </w:rPr>
        <w:t>:</w:t>
      </w:r>
    </w:p>
    <w:p w14:paraId="47667087" w14:textId="77777777" w:rsidR="00911653" w:rsidRDefault="00911653" w:rsidP="00911653">
      <w:pPr>
        <w:bidi w:val="0"/>
        <w:rPr>
          <w:rFonts w:ascii="Arial" w:hAnsi="Arial" w:cs="Arial"/>
          <w:b/>
          <w:bCs/>
          <w:noProof/>
          <w:sz w:val="32"/>
          <w:szCs w:val="32"/>
          <w:lang w:bidi="ar-JO"/>
        </w:rPr>
      </w:pPr>
      <w:r w:rsidRPr="00B27252">
        <w:rPr>
          <w:rFonts w:ascii="Arial" w:hAnsi="Arial" w:cs="Arial"/>
          <w:b/>
          <w:bCs/>
          <w:noProof/>
          <w:sz w:val="32"/>
          <w:szCs w:val="32"/>
          <w:lang w:bidi="ar-SY"/>
        </w:rPr>
        <w:t>The different aspects of his architectural career and its relation to other engineering professions. Professional, legal, administrative and trade union factors. Organizing the relationship of the architect with the various institutions concerned with the construction processes and planning of cities and municipalities</w:t>
      </w:r>
      <w:r w:rsidRPr="00B27252">
        <w:rPr>
          <w:rFonts w:ascii="Arial" w:hAnsi="Arial" w:cs="Arial"/>
          <w:b/>
          <w:bCs/>
          <w:noProof/>
          <w:sz w:val="32"/>
          <w:szCs w:val="32"/>
          <w:rtl/>
          <w:lang w:bidi="ar-SY"/>
        </w:rPr>
        <w:t>.</w:t>
      </w:r>
    </w:p>
    <w:p w14:paraId="333323C5" w14:textId="77777777" w:rsidR="00911653" w:rsidRPr="00911653" w:rsidRDefault="00911653">
      <w:bookmarkStart w:id="0" w:name="_GoBack"/>
      <w:bookmarkEnd w:id="0"/>
    </w:p>
    <w:sectPr w:rsidR="00911653" w:rsidRPr="00911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3"/>
    <w:rsid w:val="00911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6CB2"/>
  <w15:chartTrackingRefBased/>
  <w15:docId w15:val="{9DC990DB-0A83-4CB0-B2F3-D18531B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65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2018-12-25T15:22:00Z</dcterms:created>
  <dcterms:modified xsi:type="dcterms:W3CDTF">2018-12-25T15:22:00Z</dcterms:modified>
</cp:coreProperties>
</file>