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EA" w:rsidRPr="009D0BEA" w:rsidRDefault="009D0BEA" w:rsidP="009D0BEA">
      <w:pPr>
        <w:rPr>
          <w:rtl/>
          <w:lang w:bidi="ar-SA"/>
        </w:rPr>
      </w:pPr>
      <w:r w:rsidRPr="009D0BEA">
        <w:rPr>
          <w:rtl/>
          <w:lang w:bidi="ar-SA"/>
        </w:rPr>
        <w:t>الالتزامات قصيرة الأجل والطارئة، حقوق المساهمين، تصحيح الأخطاء، الإفصاح عن التغيير في استخدام الطرق المحاسبية، قياس الإيرادات وتحديد الدخل، محاسبة عقود الإيجار والتقاعد، الاستثمارات، المطلوبات طويلة الأجل.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58E8"/>
    <w:rsid w:val="00211A6F"/>
    <w:rsid w:val="002C6690"/>
    <w:rsid w:val="002F1A4C"/>
    <w:rsid w:val="00324435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2016-03-05T23:06:00Z</dcterms:created>
  <dcterms:modified xsi:type="dcterms:W3CDTF">2016-03-06T01:34:00Z</dcterms:modified>
</cp:coreProperties>
</file>