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CD" w:rsidRPr="00A72F5D" w:rsidRDefault="000D77CD" w:rsidP="000D77CD">
      <w:pPr>
        <w:rPr>
          <w:rFonts w:hint="cs"/>
          <w:sz w:val="36"/>
          <w:szCs w:val="36"/>
          <w:rtl/>
          <w:lang w:bidi="ar-JO"/>
        </w:rPr>
      </w:pPr>
      <w:proofErr w:type="gramStart"/>
      <w:r w:rsidRPr="00A72F5D">
        <w:rPr>
          <w:rFonts w:hint="cs"/>
          <w:sz w:val="36"/>
          <w:szCs w:val="36"/>
          <w:rtl/>
          <w:lang w:bidi="ar-JO"/>
        </w:rPr>
        <w:t>جامعة</w:t>
      </w:r>
      <w:proofErr w:type="gramEnd"/>
      <w:r w:rsidRPr="00A72F5D">
        <w:rPr>
          <w:rFonts w:hint="cs"/>
          <w:sz w:val="36"/>
          <w:szCs w:val="36"/>
          <w:rtl/>
          <w:lang w:bidi="ar-JO"/>
        </w:rPr>
        <w:t xml:space="preserve"> جرش الخاصة</w:t>
      </w:r>
    </w:p>
    <w:p w:rsidR="000D77CD" w:rsidRPr="00A72F5D" w:rsidRDefault="000D77CD" w:rsidP="000D77CD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0D77CD" w:rsidRPr="00A72F5D" w:rsidRDefault="000D77CD" w:rsidP="000D77CD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 xml:space="preserve">الفقه المقارن </w:t>
      </w:r>
      <w:proofErr w:type="spellStart"/>
      <w:r>
        <w:rPr>
          <w:rFonts w:hint="cs"/>
          <w:sz w:val="36"/>
          <w:szCs w:val="36"/>
          <w:rtl/>
          <w:lang w:bidi="ar-JO"/>
        </w:rPr>
        <w:t>/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</w:t>
      </w:r>
      <w:proofErr w:type="gramStart"/>
      <w:r>
        <w:rPr>
          <w:rFonts w:hint="cs"/>
          <w:sz w:val="36"/>
          <w:szCs w:val="36"/>
          <w:rtl/>
          <w:lang w:bidi="ar-JO"/>
        </w:rPr>
        <w:t>ماجستير</w:t>
      </w:r>
      <w:proofErr w:type="gramEnd"/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jc w:val="center"/>
        <w:rPr>
          <w:rFonts w:hint="cs"/>
          <w:sz w:val="40"/>
          <w:szCs w:val="40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</w:t>
      </w:r>
    </w:p>
    <w:p w:rsidR="000D77CD" w:rsidRDefault="000D77CD" w:rsidP="000D77CD">
      <w:pPr>
        <w:jc w:val="center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دراسة مقارنة في فقه العقوبات </w:t>
      </w:r>
    </w:p>
    <w:p w:rsidR="000D77CD" w:rsidRPr="00A72F5D" w:rsidRDefault="000D77CD" w:rsidP="000D77CD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</w:t>
      </w:r>
      <w:proofErr w:type="spellStart"/>
      <w:r w:rsidRPr="00A72F5D">
        <w:rPr>
          <w:rFonts w:hint="cs"/>
          <w:sz w:val="52"/>
          <w:szCs w:val="52"/>
          <w:rtl/>
          <w:lang w:bidi="ar-JO"/>
        </w:rPr>
        <w:t>المادة:</w:t>
      </w:r>
      <w:proofErr w:type="spellEnd"/>
      <w:r w:rsidRPr="00A72F5D">
        <w:rPr>
          <w:rFonts w:hint="cs"/>
          <w:sz w:val="52"/>
          <w:szCs w:val="52"/>
          <w:rtl/>
          <w:lang w:bidi="ar-JO"/>
        </w:rPr>
        <w:t xml:space="preserve"> </w:t>
      </w:r>
      <w:r>
        <w:rPr>
          <w:rFonts w:hint="cs"/>
          <w:sz w:val="52"/>
          <w:szCs w:val="52"/>
          <w:rtl/>
          <w:lang w:bidi="ar-JO"/>
        </w:rPr>
        <w:t>403970</w:t>
      </w:r>
    </w:p>
    <w:p w:rsidR="000D77CD" w:rsidRPr="00A72F5D" w:rsidRDefault="000D77CD" w:rsidP="000D77CD">
      <w:pPr>
        <w:jc w:val="center"/>
        <w:rPr>
          <w:rFonts w:hint="cs"/>
          <w:sz w:val="52"/>
          <w:szCs w:val="52"/>
          <w:rtl/>
          <w:lang w:bidi="ar-JO"/>
        </w:rPr>
      </w:pPr>
      <w:r>
        <w:rPr>
          <w:rFonts w:hint="cs"/>
          <w:sz w:val="52"/>
          <w:szCs w:val="52"/>
          <w:rtl/>
          <w:lang w:bidi="ar-JO"/>
        </w:rPr>
        <w:t>مادة إجبارية</w:t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>
        <w:rPr>
          <w:rFonts w:hint="cs"/>
          <w:sz w:val="52"/>
          <w:szCs w:val="52"/>
          <w:rtl/>
          <w:lang w:bidi="ar-JO"/>
        </w:rPr>
        <w:tab/>
      </w:r>
      <w:r w:rsidRPr="00A72F5D">
        <w:rPr>
          <w:rFonts w:hint="cs"/>
          <w:sz w:val="52"/>
          <w:szCs w:val="52"/>
          <w:rtl/>
          <w:lang w:bidi="ar-JO"/>
        </w:rPr>
        <w:t>(</w:t>
      </w:r>
      <w:r>
        <w:rPr>
          <w:rFonts w:hint="cs"/>
          <w:sz w:val="52"/>
          <w:szCs w:val="52"/>
          <w:rtl/>
          <w:lang w:bidi="ar-JO"/>
        </w:rPr>
        <w:t>3</w:t>
      </w:r>
      <w:proofErr w:type="spellStart"/>
      <w:r>
        <w:rPr>
          <w:rFonts w:hint="cs"/>
          <w:sz w:val="52"/>
          <w:szCs w:val="52"/>
          <w:rtl/>
          <w:lang w:bidi="ar-JO"/>
        </w:rPr>
        <w:t>)</w:t>
      </w:r>
      <w:proofErr w:type="spellEnd"/>
      <w:r>
        <w:rPr>
          <w:rFonts w:hint="cs"/>
          <w:sz w:val="52"/>
          <w:szCs w:val="52"/>
          <w:rtl/>
          <w:lang w:bidi="ar-JO"/>
        </w:rPr>
        <w:t xml:space="preserve"> ساعات </w:t>
      </w:r>
      <w:r w:rsidRPr="00A72F5D">
        <w:rPr>
          <w:rFonts w:hint="cs"/>
          <w:sz w:val="52"/>
          <w:szCs w:val="52"/>
          <w:rtl/>
          <w:lang w:bidi="ar-JO"/>
        </w:rPr>
        <w:t>معتمدة</w:t>
      </w: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proofErr w:type="gramStart"/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</w:t>
      </w:r>
      <w:proofErr w:type="gramEnd"/>
      <w:r>
        <w:rPr>
          <w:rFonts w:cs="Arabic Transparent" w:hint="cs"/>
          <w:b/>
          <w:bCs/>
          <w:sz w:val="36"/>
          <w:szCs w:val="36"/>
          <w:rtl/>
          <w:lang w:bidi="ar-JO"/>
        </w:rPr>
        <w:t xml:space="preserve"> المادة: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 xml:space="preserve">تتناول هذه المادة دراسة الجريمة والجناية بأركانها العامة وخاصة جنايات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القصاص،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وتحقيق أركان الجناية من القصد والعمد والترصد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والإصرار،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والتفرقة بين أنواع القتل العمد وشبه العمد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والخطأ،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وأركان جريمة القتل بالخطأ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وبالتسبب،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ثم الحديث عن عقوبة القتل العمد وعقوبة القتل الخطأ من الدية وما يتعلق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بها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من دية الرجل والمرأة والجنين وأهل الذمة ودية الأعضاء ومتى تكون الدية في بيت مال المسلمين.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أهداف المادة: </w:t>
      </w:r>
    </w:p>
    <w:p w:rsidR="000D77CD" w:rsidRDefault="000D77CD" w:rsidP="000D77CD">
      <w:pPr>
        <w:numPr>
          <w:ilvl w:val="0"/>
          <w:numId w:val="1"/>
        </w:num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بأهمية الدراسة المقارنة في العقوبات.</w:t>
      </w:r>
    </w:p>
    <w:p w:rsidR="000D77CD" w:rsidRPr="002F613C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الجانب العقابي في الإسلام.</w:t>
      </w:r>
    </w:p>
    <w:p w:rsidR="000D77CD" w:rsidRPr="002F613C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توضيح القصد من تطبيق العقوبات في الإسلام.</w:t>
      </w:r>
    </w:p>
    <w:p w:rsidR="000D77CD" w:rsidRPr="002F613C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مقارنة مقصد الشارع بما عليه الدول المعاصرة من الأخذ بالثأر.</w:t>
      </w:r>
    </w:p>
    <w:p w:rsidR="000D77CD" w:rsidRPr="00B62AF3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بهذه الجريمة وموقف الشارع الكريم من هذه الجناية.</w:t>
      </w:r>
    </w:p>
    <w:p w:rsidR="000D77CD" w:rsidRPr="00B62AF3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التفرقة بين الجريمة العمد والجريمة الخطأ.</w:t>
      </w:r>
    </w:p>
    <w:p w:rsidR="000D77CD" w:rsidRPr="00B62AF3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التعريف بالدية والمقصد من مشروعيتها.</w:t>
      </w:r>
    </w:p>
    <w:p w:rsidR="000D77CD" w:rsidRPr="00B62AF3" w:rsidRDefault="000D77CD" w:rsidP="000D77CD">
      <w:pPr>
        <w:numPr>
          <w:ilvl w:val="0"/>
          <w:numId w:val="1"/>
        </w:numPr>
        <w:rPr>
          <w:rFonts w:hint="cs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عدالة الإسلام بين المسلمين وأهل الذمة.</w:t>
      </w:r>
    </w:p>
    <w:p w:rsidR="000D77CD" w:rsidRDefault="000D77CD" w:rsidP="000D77CD">
      <w:pPr>
        <w:numPr>
          <w:ilvl w:val="0"/>
          <w:numId w:val="1"/>
        </w:numPr>
        <w:rPr>
          <w:rFonts w:hint="cs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مساواة الرجل والمرأة في العقوبات.</w:t>
      </w: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Pr="00840E5C" w:rsidRDefault="000D77CD" w:rsidP="000D77CD">
      <w:pPr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spellStart"/>
      <w:proofErr w:type="gramStart"/>
      <w:r w:rsidRPr="00840E5C">
        <w:rPr>
          <w:rFonts w:cs="Simplified Arabic" w:hint="cs"/>
          <w:b/>
          <w:bCs/>
          <w:sz w:val="32"/>
          <w:szCs w:val="32"/>
          <w:rtl/>
          <w:lang w:bidi="ar-JO"/>
        </w:rPr>
        <w:lastRenderedPageBreak/>
        <w:t>الكتب</w:t>
      </w:r>
      <w:proofErr w:type="gramEnd"/>
      <w:r w:rsidRPr="00840E5C">
        <w:rPr>
          <w:rFonts w:cs="Simplified Arabic" w:hint="cs"/>
          <w:b/>
          <w:bCs/>
          <w:sz w:val="32"/>
          <w:szCs w:val="32"/>
          <w:rtl/>
          <w:lang w:bidi="ar-JO"/>
        </w:rPr>
        <w:t>:</w:t>
      </w:r>
      <w:proofErr w:type="spellEnd"/>
      <w:r w:rsidRPr="00840E5C">
        <w:rPr>
          <w:rFonts w:cs="Simplified Arabic" w:hint="cs"/>
          <w:b/>
          <w:bCs/>
          <w:sz w:val="32"/>
          <w:szCs w:val="32"/>
          <w:rtl/>
          <w:lang w:bidi="ar-JO"/>
        </w:rPr>
        <w:tab/>
        <w:t>الحديثة: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1-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التشريع الجنائي الإسلامي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المرحوم عبد القادر عودة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2-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الجريمة والعقوبة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للمرحوم أبو زهرة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3-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الجنايات والحدود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للمرحوم الحصري</w:t>
      </w:r>
    </w:p>
    <w:p w:rsidR="000D77CD" w:rsidRPr="00840E5C" w:rsidRDefault="000D77CD" w:rsidP="000D77CD">
      <w:pPr>
        <w:rPr>
          <w:rFonts w:cs="Simplified Arabic" w:hint="cs"/>
          <w:b/>
          <w:bCs/>
          <w:sz w:val="32"/>
          <w:szCs w:val="32"/>
          <w:rtl/>
          <w:lang w:bidi="ar-JO"/>
        </w:rPr>
      </w:pPr>
      <w:proofErr w:type="gramStart"/>
      <w:r w:rsidRPr="00840E5C">
        <w:rPr>
          <w:rFonts w:cs="Simplified Arabic" w:hint="cs"/>
          <w:b/>
          <w:bCs/>
          <w:sz w:val="32"/>
          <w:szCs w:val="32"/>
          <w:rtl/>
          <w:lang w:bidi="ar-JO"/>
        </w:rPr>
        <w:t>الكتب</w:t>
      </w:r>
      <w:proofErr w:type="gramEnd"/>
      <w:r w:rsidRPr="00840E5C">
        <w:rPr>
          <w:rFonts w:cs="Simplified Arabic" w:hint="cs"/>
          <w:b/>
          <w:bCs/>
          <w:sz w:val="32"/>
          <w:szCs w:val="32"/>
          <w:rtl/>
          <w:lang w:bidi="ar-JO"/>
        </w:rPr>
        <w:t xml:space="preserve"> المعتمدة:</w:t>
      </w:r>
    </w:p>
    <w:p w:rsidR="000D77CD" w:rsidRDefault="000D77CD" w:rsidP="000D77CD">
      <w:pPr>
        <w:ind w:left="360"/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أبواب الحدود والقصاص في كتب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الفقه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بالمذاهب الثمانية مثل:</w:t>
      </w:r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شرح فتح القدير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للكمال </w:t>
      </w:r>
      <w:proofErr w:type="gramStart"/>
      <w:r>
        <w:rPr>
          <w:rFonts w:cs="Simplified Arabic" w:hint="cs"/>
          <w:sz w:val="32"/>
          <w:szCs w:val="32"/>
          <w:rtl/>
          <w:lang w:bidi="ar-JO"/>
        </w:rPr>
        <w:t>بن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 xml:space="preserve"> الهمام</w:t>
      </w:r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بدائع الصنائع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للكاساني</w:t>
      </w:r>
      <w:proofErr w:type="spellEnd"/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المجموع 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للنووي</w:t>
      </w:r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المغني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لابن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قدامة</w:t>
      </w:r>
      <w:proofErr w:type="spellEnd"/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المحلى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لابن حزم</w:t>
      </w:r>
    </w:p>
    <w:p w:rsidR="000D77CD" w:rsidRDefault="000D77CD" w:rsidP="000D77CD">
      <w:pPr>
        <w:numPr>
          <w:ilvl w:val="0"/>
          <w:numId w:val="2"/>
        </w:num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شرح النيل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 xml:space="preserve">محمد بن يوسف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اطفيش</w:t>
      </w:r>
      <w:proofErr w:type="spellEnd"/>
    </w:p>
    <w:p w:rsidR="000D77CD" w:rsidRPr="00A4229C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Pr="00A72F5D" w:rsidRDefault="000D77CD" w:rsidP="000D77CD">
      <w:pPr>
        <w:rPr>
          <w:rFonts w:hint="cs"/>
          <w:b/>
          <w:bCs/>
          <w:sz w:val="32"/>
          <w:szCs w:val="32"/>
          <w:rtl/>
          <w:lang w:bidi="ar-JO"/>
        </w:rPr>
      </w:pPr>
      <w:proofErr w:type="gramStart"/>
      <w:r w:rsidRPr="00A72F5D">
        <w:rPr>
          <w:rFonts w:hint="cs"/>
          <w:b/>
          <w:bCs/>
          <w:sz w:val="32"/>
          <w:szCs w:val="32"/>
          <w:rtl/>
          <w:lang w:bidi="ar-JO"/>
        </w:rPr>
        <w:t>توزيع</w:t>
      </w:r>
      <w:proofErr w:type="gramEnd"/>
      <w:r w:rsidRPr="00A72F5D">
        <w:rPr>
          <w:rFonts w:hint="cs"/>
          <w:b/>
          <w:bCs/>
          <w:sz w:val="32"/>
          <w:szCs w:val="32"/>
          <w:rtl/>
          <w:lang w:bidi="ar-JO"/>
        </w:rPr>
        <w:t xml:space="preserve"> مفردات المادة على أسابيع الفصل</w:t>
      </w:r>
    </w:p>
    <w:p w:rsidR="000D77CD" w:rsidRDefault="000D77CD" w:rsidP="000D77CD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340"/>
        <w:gridCol w:w="2672"/>
        <w:gridCol w:w="2548"/>
        <w:gridCol w:w="1800"/>
      </w:tblGrid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  <w:proofErr w:type="gramEnd"/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  <w:proofErr w:type="gramEnd"/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  <w:proofErr w:type="gramEnd"/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  <w:proofErr w:type="gramEnd"/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الأول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تمهيد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بالحديث عن العقوبات في الإسلام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الثاني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الجريمة وأركانها العامة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الثالث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أنواع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القتل الأربعة وموقف الفقهاء من هذا التقسيم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الرابع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عقوبة القتل العمد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الخامس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عقوبة القتل الخطأ والقتل بالتسبب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السادس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الدية</w:t>
            </w:r>
            <w:proofErr w:type="gramEnd"/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2340" w:type="dxa"/>
            <w:vMerge w:val="restart"/>
          </w:tcPr>
          <w:p w:rsidR="000D77CD" w:rsidRPr="008C04DA" w:rsidRDefault="000D77CD" w:rsidP="0024249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السابع</w:t>
            </w:r>
          </w:p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الثامن</w:t>
            </w:r>
          </w:p>
        </w:tc>
        <w:tc>
          <w:tcPr>
            <w:tcW w:w="2672" w:type="dxa"/>
            <w:vMerge w:val="restart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مناقشة مساواة المرأة والرجل في الدية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2340" w:type="dxa"/>
            <w:vMerge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72" w:type="dxa"/>
            <w:vMerge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التاسع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موقف الإسلام من جنايات أهل الذمة منهم وعليهم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10.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</w:t>
            </w:r>
            <w:proofErr w:type="gramEnd"/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العاشر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الجنين وموقف </w:t>
            </w: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الإسلام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من دية الجنين وعلى من تكون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دية الأعضاء وما يعرف بالجراح وأرش الجراح وأنواعها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234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 عشر</w:t>
            </w:r>
          </w:p>
        </w:tc>
        <w:tc>
          <w:tcPr>
            <w:tcW w:w="2672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الحالات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التي تجب فيها الدية على بيت المال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13.</w:t>
            </w:r>
          </w:p>
        </w:tc>
        <w:tc>
          <w:tcPr>
            <w:tcW w:w="2340" w:type="dxa"/>
            <w:vMerge w:val="restart"/>
          </w:tcPr>
          <w:p w:rsidR="000D77CD" w:rsidRPr="008C04DA" w:rsidRDefault="000D77CD" w:rsidP="0024249A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2672" w:type="dxa"/>
            <w:vMerge w:val="restart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proofErr w:type="gramStart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مناقشة</w:t>
            </w:r>
            <w:proofErr w:type="gramEnd"/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البحوث الجامعية</w:t>
            </w: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0D77CD" w:rsidRPr="008C04DA" w:rsidTr="0024249A">
        <w:tc>
          <w:tcPr>
            <w:tcW w:w="720" w:type="dxa"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2340" w:type="dxa"/>
            <w:vMerge/>
          </w:tcPr>
          <w:p w:rsidR="000D77CD" w:rsidRPr="008C04DA" w:rsidRDefault="000D77CD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2672" w:type="dxa"/>
            <w:vMerge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0D77CD" w:rsidRPr="008C04DA" w:rsidRDefault="000D77CD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hint="cs"/>
          <w:rtl/>
          <w:lang w:bidi="ar-JO"/>
        </w:rPr>
      </w:pP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التقويم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امتحان أول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 xml:space="preserve"> امتحان ثاني </w:t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-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نهائي</w:t>
      </w:r>
      <w:r>
        <w:rPr>
          <w:rFonts w:cs="Simplified Arabic" w:hint="cs"/>
          <w:sz w:val="32"/>
          <w:szCs w:val="32"/>
          <w:rtl/>
          <w:lang w:bidi="ar-JO"/>
        </w:rPr>
        <w:tab/>
        <w:t>40 درجة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r>
        <w:rPr>
          <w:rFonts w:cs="Simplified Arabic" w:hint="cs"/>
          <w:sz w:val="32"/>
          <w:szCs w:val="32"/>
          <w:rtl/>
          <w:lang w:bidi="ar-JO"/>
        </w:rPr>
        <w:t>بحث: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 xml:space="preserve">  مناقشة البحث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30 درجة</w:t>
      </w: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  <w:proofErr w:type="spellStart"/>
      <w:proofErr w:type="gramStart"/>
      <w:r>
        <w:rPr>
          <w:rFonts w:cs="Simplified Arabic" w:hint="cs"/>
          <w:sz w:val="32"/>
          <w:szCs w:val="32"/>
          <w:rtl/>
          <w:lang w:bidi="ar-JO"/>
        </w:rPr>
        <w:t>المجموع</w:t>
      </w:r>
      <w:proofErr w:type="gramEnd"/>
      <w:r>
        <w:rPr>
          <w:rFonts w:cs="Simplified Arabic" w:hint="cs"/>
          <w:sz w:val="32"/>
          <w:szCs w:val="32"/>
          <w:rtl/>
          <w:lang w:bidi="ar-JO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JO"/>
        </w:rPr>
        <w:t>100درجة</w:t>
      </w:r>
      <w:proofErr w:type="spellEnd"/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</w:p>
    <w:p w:rsidR="000D77CD" w:rsidRDefault="000D77CD" w:rsidP="000D77CD">
      <w:pPr>
        <w:rPr>
          <w:rFonts w:cs="Simplified Arabic" w:hint="cs"/>
          <w:sz w:val="32"/>
          <w:szCs w:val="32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E28A3"/>
    <w:multiLevelType w:val="hybridMultilevel"/>
    <w:tmpl w:val="F790D9BE"/>
    <w:lvl w:ilvl="0" w:tplc="CD98E30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31305B"/>
    <w:multiLevelType w:val="hybridMultilevel"/>
    <w:tmpl w:val="09AC56C8"/>
    <w:lvl w:ilvl="0" w:tplc="C728F3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7CD"/>
    <w:rsid w:val="000D77CD"/>
    <w:rsid w:val="006774B1"/>
    <w:rsid w:val="006D06C2"/>
    <w:rsid w:val="008D4E44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2020-11-25T10:02:00Z</dcterms:created>
  <dcterms:modified xsi:type="dcterms:W3CDTF">2020-11-25T10:03:00Z</dcterms:modified>
</cp:coreProperties>
</file>