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4F" w:rsidRPr="00A72F5D" w:rsidRDefault="00773B4F" w:rsidP="00773B4F">
      <w:pPr>
        <w:rPr>
          <w:rFonts w:hint="cs"/>
          <w:sz w:val="36"/>
          <w:szCs w:val="36"/>
          <w:rtl/>
          <w:lang w:bidi="ar-JO"/>
        </w:rPr>
      </w:pPr>
      <w:proofErr w:type="gramStart"/>
      <w:r w:rsidRPr="00A72F5D">
        <w:rPr>
          <w:rFonts w:hint="cs"/>
          <w:sz w:val="36"/>
          <w:szCs w:val="36"/>
          <w:rtl/>
          <w:lang w:bidi="ar-JO"/>
        </w:rPr>
        <w:t>جامعة</w:t>
      </w:r>
      <w:proofErr w:type="gramEnd"/>
      <w:r w:rsidRPr="00A72F5D">
        <w:rPr>
          <w:rFonts w:hint="cs"/>
          <w:sz w:val="36"/>
          <w:szCs w:val="36"/>
          <w:rtl/>
          <w:lang w:bidi="ar-JO"/>
        </w:rPr>
        <w:t xml:space="preserve"> جرش الخاصة</w:t>
      </w:r>
    </w:p>
    <w:p w:rsidR="00773B4F" w:rsidRPr="00A72F5D" w:rsidRDefault="00773B4F" w:rsidP="00773B4F">
      <w:pPr>
        <w:rPr>
          <w:rFonts w:hint="cs"/>
          <w:sz w:val="36"/>
          <w:szCs w:val="36"/>
          <w:rtl/>
          <w:lang w:bidi="ar-JO"/>
        </w:rPr>
      </w:pPr>
      <w:r w:rsidRPr="00A72F5D">
        <w:rPr>
          <w:rFonts w:hint="cs"/>
          <w:sz w:val="36"/>
          <w:szCs w:val="36"/>
          <w:rtl/>
          <w:lang w:bidi="ar-JO"/>
        </w:rPr>
        <w:t>كلية الشريعة</w:t>
      </w:r>
    </w:p>
    <w:p w:rsidR="00773B4F" w:rsidRPr="00A72F5D" w:rsidRDefault="00773B4F" w:rsidP="00773B4F">
      <w:pPr>
        <w:rPr>
          <w:rFonts w:hint="cs"/>
          <w:sz w:val="36"/>
          <w:szCs w:val="36"/>
          <w:rtl/>
          <w:lang w:bidi="ar-JO"/>
        </w:rPr>
      </w:pPr>
      <w:r w:rsidRPr="00A72F5D">
        <w:rPr>
          <w:rFonts w:hint="cs"/>
          <w:sz w:val="36"/>
          <w:szCs w:val="36"/>
          <w:rtl/>
          <w:lang w:bidi="ar-JO"/>
        </w:rPr>
        <w:t xml:space="preserve">قسم </w:t>
      </w:r>
      <w:r>
        <w:rPr>
          <w:rFonts w:hint="cs"/>
          <w:sz w:val="36"/>
          <w:szCs w:val="36"/>
          <w:rtl/>
          <w:lang w:bidi="ar-JO"/>
        </w:rPr>
        <w:t xml:space="preserve">الفقه المقارن </w:t>
      </w:r>
      <w:proofErr w:type="spellStart"/>
      <w:r>
        <w:rPr>
          <w:rFonts w:hint="cs"/>
          <w:sz w:val="36"/>
          <w:szCs w:val="36"/>
          <w:rtl/>
          <w:lang w:bidi="ar-JO"/>
        </w:rPr>
        <w:t>/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</w:t>
      </w:r>
      <w:proofErr w:type="gramStart"/>
      <w:r>
        <w:rPr>
          <w:rFonts w:hint="cs"/>
          <w:sz w:val="36"/>
          <w:szCs w:val="36"/>
          <w:rtl/>
          <w:lang w:bidi="ar-JO"/>
        </w:rPr>
        <w:t>ماجستير</w:t>
      </w:r>
      <w:proofErr w:type="gramEnd"/>
    </w:p>
    <w:p w:rsidR="00773B4F" w:rsidRDefault="00773B4F" w:rsidP="00773B4F">
      <w:pPr>
        <w:rPr>
          <w:rFonts w:hint="cs"/>
          <w:rtl/>
          <w:lang w:bidi="ar-JO"/>
        </w:rPr>
      </w:pPr>
    </w:p>
    <w:p w:rsidR="00773B4F" w:rsidRDefault="00773B4F" w:rsidP="00773B4F">
      <w:pPr>
        <w:rPr>
          <w:rFonts w:hint="cs"/>
          <w:rtl/>
          <w:lang w:bidi="ar-JO"/>
        </w:rPr>
      </w:pPr>
    </w:p>
    <w:p w:rsidR="00773B4F" w:rsidRDefault="00773B4F" w:rsidP="00773B4F">
      <w:pPr>
        <w:rPr>
          <w:rFonts w:hint="cs"/>
          <w:rtl/>
          <w:lang w:bidi="ar-JO"/>
        </w:rPr>
      </w:pPr>
    </w:p>
    <w:p w:rsidR="00773B4F" w:rsidRDefault="00773B4F" w:rsidP="00773B4F">
      <w:pPr>
        <w:jc w:val="center"/>
        <w:rPr>
          <w:rFonts w:hint="cs"/>
          <w:sz w:val="40"/>
          <w:szCs w:val="40"/>
          <w:rtl/>
          <w:lang w:bidi="ar-JO"/>
        </w:rPr>
      </w:pPr>
      <w:r w:rsidRPr="002824C1">
        <w:rPr>
          <w:rFonts w:hint="cs"/>
          <w:sz w:val="40"/>
          <w:szCs w:val="40"/>
          <w:rtl/>
          <w:lang w:bidi="ar-JO"/>
        </w:rPr>
        <w:t>الخطة التفصيلية</w:t>
      </w:r>
      <w:r>
        <w:rPr>
          <w:rFonts w:hint="cs"/>
          <w:sz w:val="40"/>
          <w:szCs w:val="40"/>
          <w:rtl/>
          <w:lang w:bidi="ar-JO"/>
        </w:rPr>
        <w:t xml:space="preserve"> لمادة </w:t>
      </w:r>
    </w:p>
    <w:p w:rsidR="00773B4F" w:rsidRDefault="00773B4F" w:rsidP="00773B4F">
      <w:pPr>
        <w:jc w:val="center"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أثر </w:t>
      </w:r>
      <w:proofErr w:type="gramStart"/>
      <w:r>
        <w:rPr>
          <w:rFonts w:hint="cs"/>
          <w:sz w:val="40"/>
          <w:szCs w:val="40"/>
          <w:rtl/>
          <w:lang w:bidi="ar-JO"/>
        </w:rPr>
        <w:t>القواعد</w:t>
      </w:r>
      <w:proofErr w:type="gramEnd"/>
      <w:r>
        <w:rPr>
          <w:rFonts w:hint="cs"/>
          <w:sz w:val="40"/>
          <w:szCs w:val="40"/>
          <w:rtl/>
          <w:lang w:bidi="ar-JO"/>
        </w:rPr>
        <w:t xml:space="preserve"> الأصولية في اختلاف الفقهاء</w:t>
      </w:r>
    </w:p>
    <w:p w:rsidR="00773B4F" w:rsidRPr="00A72F5D" w:rsidRDefault="00773B4F" w:rsidP="00773B4F">
      <w:pPr>
        <w:jc w:val="center"/>
        <w:rPr>
          <w:rFonts w:hint="cs"/>
          <w:sz w:val="52"/>
          <w:szCs w:val="52"/>
          <w:rtl/>
          <w:lang w:bidi="ar-JO"/>
        </w:rPr>
      </w:pPr>
      <w:r w:rsidRPr="00A72F5D">
        <w:rPr>
          <w:rFonts w:hint="cs"/>
          <w:sz w:val="52"/>
          <w:szCs w:val="52"/>
          <w:rtl/>
          <w:lang w:bidi="ar-JO"/>
        </w:rPr>
        <w:t xml:space="preserve">رقم </w:t>
      </w:r>
      <w:proofErr w:type="spellStart"/>
      <w:r w:rsidRPr="00A72F5D">
        <w:rPr>
          <w:rFonts w:hint="cs"/>
          <w:sz w:val="52"/>
          <w:szCs w:val="52"/>
          <w:rtl/>
          <w:lang w:bidi="ar-JO"/>
        </w:rPr>
        <w:t>المادة:</w:t>
      </w:r>
      <w:proofErr w:type="spellEnd"/>
      <w:r w:rsidRPr="00A72F5D">
        <w:rPr>
          <w:rFonts w:hint="cs"/>
          <w:sz w:val="52"/>
          <w:szCs w:val="52"/>
          <w:rtl/>
          <w:lang w:bidi="ar-JO"/>
        </w:rPr>
        <w:t xml:space="preserve"> </w:t>
      </w:r>
      <w:r>
        <w:rPr>
          <w:rFonts w:hint="cs"/>
          <w:sz w:val="52"/>
          <w:szCs w:val="52"/>
          <w:rtl/>
          <w:lang w:bidi="ar-JO"/>
        </w:rPr>
        <w:t>403741</w:t>
      </w:r>
    </w:p>
    <w:p w:rsidR="00773B4F" w:rsidRPr="00A72F5D" w:rsidRDefault="00773B4F" w:rsidP="00773B4F">
      <w:pPr>
        <w:jc w:val="center"/>
        <w:rPr>
          <w:rFonts w:hint="cs"/>
          <w:sz w:val="52"/>
          <w:szCs w:val="52"/>
          <w:rtl/>
          <w:lang w:bidi="ar-JO"/>
        </w:rPr>
      </w:pPr>
      <w:r>
        <w:rPr>
          <w:rFonts w:hint="cs"/>
          <w:sz w:val="52"/>
          <w:szCs w:val="52"/>
          <w:rtl/>
          <w:lang w:bidi="ar-JO"/>
        </w:rPr>
        <w:t>مادة إجبارية</w:t>
      </w:r>
      <w:r>
        <w:rPr>
          <w:rFonts w:hint="cs"/>
          <w:sz w:val="52"/>
          <w:szCs w:val="52"/>
          <w:rtl/>
          <w:lang w:bidi="ar-JO"/>
        </w:rPr>
        <w:tab/>
      </w:r>
      <w:r>
        <w:rPr>
          <w:rFonts w:hint="cs"/>
          <w:sz w:val="52"/>
          <w:szCs w:val="52"/>
          <w:rtl/>
          <w:lang w:bidi="ar-JO"/>
        </w:rPr>
        <w:tab/>
      </w:r>
      <w:r>
        <w:rPr>
          <w:rFonts w:hint="cs"/>
          <w:sz w:val="52"/>
          <w:szCs w:val="52"/>
          <w:rtl/>
          <w:lang w:bidi="ar-JO"/>
        </w:rPr>
        <w:tab/>
      </w:r>
      <w:r w:rsidRPr="00A72F5D">
        <w:rPr>
          <w:rFonts w:hint="cs"/>
          <w:sz w:val="52"/>
          <w:szCs w:val="52"/>
          <w:rtl/>
          <w:lang w:bidi="ar-JO"/>
        </w:rPr>
        <w:t>(</w:t>
      </w:r>
      <w:r>
        <w:rPr>
          <w:rFonts w:hint="cs"/>
          <w:sz w:val="52"/>
          <w:szCs w:val="52"/>
          <w:rtl/>
          <w:lang w:bidi="ar-JO"/>
        </w:rPr>
        <w:t>3</w:t>
      </w:r>
      <w:proofErr w:type="spellStart"/>
      <w:r>
        <w:rPr>
          <w:rFonts w:hint="cs"/>
          <w:sz w:val="52"/>
          <w:szCs w:val="52"/>
          <w:rtl/>
          <w:lang w:bidi="ar-JO"/>
        </w:rPr>
        <w:t>)</w:t>
      </w:r>
      <w:proofErr w:type="spellEnd"/>
      <w:r>
        <w:rPr>
          <w:rFonts w:hint="cs"/>
          <w:sz w:val="52"/>
          <w:szCs w:val="52"/>
          <w:rtl/>
          <w:lang w:bidi="ar-JO"/>
        </w:rPr>
        <w:t xml:space="preserve"> ساعات </w:t>
      </w:r>
      <w:r w:rsidRPr="00A72F5D">
        <w:rPr>
          <w:rFonts w:hint="cs"/>
          <w:sz w:val="52"/>
          <w:szCs w:val="52"/>
          <w:rtl/>
          <w:lang w:bidi="ar-JO"/>
        </w:rPr>
        <w:t>معتمدة</w:t>
      </w:r>
    </w:p>
    <w:p w:rsidR="00773B4F" w:rsidRDefault="00773B4F" w:rsidP="00773B4F">
      <w:pPr>
        <w:rPr>
          <w:rFonts w:hint="cs"/>
          <w:rtl/>
          <w:lang w:bidi="ar-JO"/>
        </w:rPr>
      </w:pPr>
    </w:p>
    <w:p w:rsidR="00773B4F" w:rsidRDefault="00773B4F" w:rsidP="00773B4F">
      <w:pPr>
        <w:rPr>
          <w:rFonts w:cs="Simplified Arabic" w:hint="cs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>وصف</w:t>
      </w:r>
      <w:r w:rsidRPr="002A2055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المادة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:rsidR="00773B4F" w:rsidRPr="002A2055" w:rsidRDefault="00773B4F" w:rsidP="00773B4F">
      <w:pPr>
        <w:rPr>
          <w:rFonts w:cs="Simplified Arabic" w:hint="cs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>تهدف هذه المادة إلى تحقيق الأهداف التالية</w:t>
      </w:r>
      <w:r w:rsidRPr="002A2055">
        <w:rPr>
          <w:rFonts w:cs="Simplified Arabic" w:hint="cs"/>
          <w:b/>
          <w:bCs/>
          <w:sz w:val="32"/>
          <w:szCs w:val="32"/>
          <w:rtl/>
          <w:lang w:bidi="ar-JO"/>
        </w:rPr>
        <w:t xml:space="preserve">: </w:t>
      </w:r>
    </w:p>
    <w:p w:rsidR="00773B4F" w:rsidRDefault="00773B4F" w:rsidP="00773B4F">
      <w:pPr>
        <w:numPr>
          <w:ilvl w:val="0"/>
          <w:numId w:val="1"/>
        </w:numPr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إيقاف الطالب على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معاقد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الخلاف الأصولية والفقهية.</w:t>
      </w:r>
    </w:p>
    <w:p w:rsidR="00773B4F" w:rsidRPr="002F613C" w:rsidRDefault="00773B4F" w:rsidP="00773B4F">
      <w:pPr>
        <w:numPr>
          <w:ilvl w:val="0"/>
          <w:numId w:val="1"/>
        </w:numPr>
        <w:rPr>
          <w:rFonts w:hint="cs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إيقاف الطالب على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معاقد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الخلاف اللغوية من حيث الألفاظ وأثر ذلك في الأحكام.</w:t>
      </w:r>
    </w:p>
    <w:p w:rsidR="00773B4F" w:rsidRPr="007E407F" w:rsidRDefault="00773B4F" w:rsidP="00773B4F">
      <w:pPr>
        <w:numPr>
          <w:ilvl w:val="0"/>
          <w:numId w:val="1"/>
        </w:numPr>
        <w:rPr>
          <w:rFonts w:hint="cs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تدريب الطالب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واكسابه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مهارات وقدرات اجتهادية عند استنباطه الأحكام من مصادرها.</w:t>
      </w:r>
    </w:p>
    <w:p w:rsidR="00773B4F" w:rsidRPr="00A72F5D" w:rsidRDefault="00773B4F" w:rsidP="00773B4F">
      <w:pPr>
        <w:rPr>
          <w:rFonts w:hint="cs"/>
          <w:b/>
          <w:bCs/>
          <w:sz w:val="32"/>
          <w:szCs w:val="32"/>
          <w:rtl/>
          <w:lang w:bidi="ar-JO"/>
        </w:rPr>
      </w:pPr>
      <w:proofErr w:type="gramStart"/>
      <w:r w:rsidRPr="00A72F5D">
        <w:rPr>
          <w:rFonts w:hint="cs"/>
          <w:b/>
          <w:bCs/>
          <w:sz w:val="32"/>
          <w:szCs w:val="32"/>
          <w:rtl/>
          <w:lang w:bidi="ar-JO"/>
        </w:rPr>
        <w:t>توزيع</w:t>
      </w:r>
      <w:proofErr w:type="gramEnd"/>
      <w:r w:rsidRPr="00A72F5D">
        <w:rPr>
          <w:rFonts w:hint="cs"/>
          <w:b/>
          <w:bCs/>
          <w:sz w:val="32"/>
          <w:szCs w:val="32"/>
          <w:rtl/>
          <w:lang w:bidi="ar-JO"/>
        </w:rPr>
        <w:t xml:space="preserve"> مفردات المادة على أسابيع الفصل</w:t>
      </w:r>
    </w:p>
    <w:p w:rsidR="00773B4F" w:rsidRPr="002F613C" w:rsidRDefault="00773B4F" w:rsidP="00773B4F">
      <w:pPr>
        <w:rPr>
          <w:rFonts w:hint="cs"/>
          <w:lang w:bidi="ar-JO"/>
        </w:rPr>
      </w:pPr>
    </w:p>
    <w:tbl>
      <w:tblPr>
        <w:bidiVisual/>
        <w:tblW w:w="10546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160"/>
        <w:gridCol w:w="4140"/>
        <w:gridCol w:w="1726"/>
        <w:gridCol w:w="1800"/>
      </w:tblGrid>
      <w:tr w:rsidR="00773B4F" w:rsidRPr="008C04DA" w:rsidTr="0024249A">
        <w:tc>
          <w:tcPr>
            <w:tcW w:w="72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  <w:proofErr w:type="gramEnd"/>
          </w:p>
        </w:tc>
        <w:tc>
          <w:tcPr>
            <w:tcW w:w="216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الزمن</w:t>
            </w:r>
          </w:p>
        </w:tc>
        <w:tc>
          <w:tcPr>
            <w:tcW w:w="414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المحتوى</w:t>
            </w:r>
            <w:proofErr w:type="gramEnd"/>
          </w:p>
        </w:tc>
        <w:tc>
          <w:tcPr>
            <w:tcW w:w="1726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المراجع</w:t>
            </w:r>
            <w:proofErr w:type="gramEnd"/>
          </w:p>
        </w:tc>
        <w:tc>
          <w:tcPr>
            <w:tcW w:w="180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ملاحظات</w:t>
            </w:r>
            <w:proofErr w:type="gramEnd"/>
          </w:p>
        </w:tc>
      </w:tr>
      <w:tr w:rsidR="00773B4F" w:rsidRPr="008C04DA" w:rsidTr="0024249A">
        <w:tc>
          <w:tcPr>
            <w:tcW w:w="72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1.</w:t>
            </w:r>
          </w:p>
        </w:tc>
        <w:tc>
          <w:tcPr>
            <w:tcW w:w="216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الأول</w:t>
            </w:r>
          </w:p>
        </w:tc>
        <w:tc>
          <w:tcPr>
            <w:tcW w:w="414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منهج طريقة الفقهاء (الحنفية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)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عبارة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النص،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دلالة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النص،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دلالة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الاقتضاء</w:t>
            </w:r>
          </w:p>
        </w:tc>
        <w:tc>
          <w:tcPr>
            <w:tcW w:w="1726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773B4F" w:rsidRPr="008C04DA" w:rsidTr="0024249A">
        <w:tc>
          <w:tcPr>
            <w:tcW w:w="72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2.</w:t>
            </w:r>
          </w:p>
        </w:tc>
        <w:tc>
          <w:tcPr>
            <w:tcW w:w="216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الثاني</w:t>
            </w:r>
          </w:p>
        </w:tc>
        <w:tc>
          <w:tcPr>
            <w:tcW w:w="414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منهج طريقة المتكلمين (الجمهور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)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المنطوق،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المفهوم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دلالة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الاقتضاء،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دلالة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الإيماء،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دلالة الإشارة</w:t>
            </w:r>
          </w:p>
        </w:tc>
        <w:tc>
          <w:tcPr>
            <w:tcW w:w="1726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773B4F" w:rsidRPr="008C04DA" w:rsidTr="0024249A">
        <w:tc>
          <w:tcPr>
            <w:tcW w:w="72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3.</w:t>
            </w:r>
          </w:p>
        </w:tc>
        <w:tc>
          <w:tcPr>
            <w:tcW w:w="216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الثالث</w:t>
            </w:r>
          </w:p>
        </w:tc>
        <w:tc>
          <w:tcPr>
            <w:tcW w:w="414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مقارنة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بين المنهجيين</w:t>
            </w:r>
          </w:p>
        </w:tc>
        <w:tc>
          <w:tcPr>
            <w:tcW w:w="1726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773B4F" w:rsidRPr="008C04DA" w:rsidTr="0024249A">
        <w:tc>
          <w:tcPr>
            <w:tcW w:w="72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4.</w:t>
            </w:r>
          </w:p>
        </w:tc>
        <w:tc>
          <w:tcPr>
            <w:tcW w:w="216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الرابع</w:t>
            </w:r>
          </w:p>
        </w:tc>
        <w:tc>
          <w:tcPr>
            <w:tcW w:w="414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مفهوم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الموافقة،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عموم المقتضى وأثر الاختلاف في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ذلك،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الفروع: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حكم من تكلم في الصلاة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ناسياً،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أو مخطئاً أو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جاهلاً،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حكم من أكل ناسياً أو مكرهاً أو مخطئاً وهو صائم خلاف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المكره،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وجوب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النيه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في الوضوء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والغسل،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lastRenderedPageBreak/>
              <w:t xml:space="preserve">تبييت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نيه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الصيام من الليل</w:t>
            </w:r>
          </w:p>
        </w:tc>
        <w:tc>
          <w:tcPr>
            <w:tcW w:w="1726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773B4F" w:rsidRPr="008C04DA" w:rsidTr="0024249A">
        <w:tc>
          <w:tcPr>
            <w:tcW w:w="72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5.</w:t>
            </w:r>
          </w:p>
        </w:tc>
        <w:tc>
          <w:tcPr>
            <w:tcW w:w="216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الخامس</w:t>
            </w:r>
          </w:p>
        </w:tc>
        <w:tc>
          <w:tcPr>
            <w:tcW w:w="414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مفهوم </w:t>
            </w: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المخالفة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وأثر الاختلاف في ذلك. </w:t>
            </w:r>
            <w:proofErr w:type="spellStart"/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الفروع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: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الزواج من الأمة الكتابية عند فقدان طول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الحرة،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الزواج من الأمة مع طول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الحرة،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الزواج بالأمة الكتابية مع عدم خوف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العنت،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نجاسة الكافر</w:t>
            </w:r>
          </w:p>
        </w:tc>
        <w:tc>
          <w:tcPr>
            <w:tcW w:w="1726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773B4F" w:rsidRPr="008C04DA" w:rsidTr="0024249A">
        <w:tc>
          <w:tcPr>
            <w:tcW w:w="72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6.</w:t>
            </w:r>
          </w:p>
        </w:tc>
        <w:tc>
          <w:tcPr>
            <w:tcW w:w="216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السادس</w:t>
            </w:r>
          </w:p>
        </w:tc>
        <w:tc>
          <w:tcPr>
            <w:tcW w:w="414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القواعد المتعلقة بدلالة الألفاظ من حيث الشمول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وعدمه،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العام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الخاص،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من الفروع المترتبة على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ذلك،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حل الذبيحة المتروكة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التسمية،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مباح الدم عندما يأوي إلى الحرم. تعارض العام مع الخاص. قتل المسلم بالكافر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الذمي،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إقامة الحد على من زنى في دار الحرب.</w:t>
            </w:r>
          </w:p>
        </w:tc>
        <w:tc>
          <w:tcPr>
            <w:tcW w:w="1726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773B4F" w:rsidRPr="008C04DA" w:rsidTr="0024249A">
        <w:tc>
          <w:tcPr>
            <w:tcW w:w="72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7.</w:t>
            </w:r>
          </w:p>
        </w:tc>
        <w:tc>
          <w:tcPr>
            <w:tcW w:w="216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السابع</w:t>
            </w:r>
          </w:p>
        </w:tc>
        <w:tc>
          <w:tcPr>
            <w:tcW w:w="414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استعمال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المشترك في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معانيه،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تخيير ولي المقتول بين القصاص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والدية،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التخصيص بالاستثناء بعد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الجمل،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المتعاطفة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بالواو،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من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الفروع: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قبول شهادة المحدود في القذف إذا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قال: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علي ألف درهم ومائة دينار إلا خمسين</w:t>
            </w:r>
          </w:p>
        </w:tc>
        <w:tc>
          <w:tcPr>
            <w:tcW w:w="1726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773B4F" w:rsidRPr="008C04DA" w:rsidTr="0024249A">
        <w:tc>
          <w:tcPr>
            <w:tcW w:w="72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8.</w:t>
            </w:r>
          </w:p>
        </w:tc>
        <w:tc>
          <w:tcPr>
            <w:tcW w:w="216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الثامن</w:t>
            </w:r>
          </w:p>
        </w:tc>
        <w:tc>
          <w:tcPr>
            <w:tcW w:w="414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المطلق والمقيد من الفروع تقييد الرضاع المحرم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بعدد،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اشتراط الايمان في رقبة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الكفارة،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الزيادة على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النص،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هل تعد نسخاً أم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لا؟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تعيين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قراءة الفاتحة في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الصلاة،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التغريب على الزاني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البكر،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القضاء بشاهد ويمين</w:t>
            </w:r>
          </w:p>
        </w:tc>
        <w:tc>
          <w:tcPr>
            <w:tcW w:w="1726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773B4F" w:rsidRPr="008C04DA" w:rsidTr="0024249A">
        <w:tc>
          <w:tcPr>
            <w:tcW w:w="72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9.</w:t>
            </w:r>
          </w:p>
        </w:tc>
        <w:tc>
          <w:tcPr>
            <w:tcW w:w="216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التاسع</w:t>
            </w:r>
          </w:p>
        </w:tc>
        <w:tc>
          <w:tcPr>
            <w:tcW w:w="414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اقتضاء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الأمر المطلق الوحدة أو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التكرار،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من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الفروع: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الصلاة بتيمم واحد عدداً من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الفرائض،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اقتضاء الأمر المطلق الفور أو التراخي. من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الفروع: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المبادرة إلى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آداء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الزكاة قضاء الصوم لمن أفطر في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رمضان،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وجوب المبادرة إلى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آداء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فريضة الحج</w:t>
            </w:r>
          </w:p>
        </w:tc>
        <w:tc>
          <w:tcPr>
            <w:tcW w:w="1726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773B4F" w:rsidRPr="008C04DA" w:rsidTr="0024249A">
        <w:tc>
          <w:tcPr>
            <w:tcW w:w="72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10.</w:t>
            </w:r>
          </w:p>
        </w:tc>
        <w:tc>
          <w:tcPr>
            <w:tcW w:w="216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العاشر</w:t>
            </w:r>
          </w:p>
        </w:tc>
        <w:tc>
          <w:tcPr>
            <w:tcW w:w="414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النهي عند الاطلاق هل يقتضي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التحريم؟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من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الفروع: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جواز غرس خشبة في جدار الجار بدون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إذنه،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حكم الصلاة في الأمكنة المنهي عنها. الاختصار في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الصلاة،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نذر صوم يوم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lastRenderedPageBreak/>
              <w:t>العيد،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صيام أيام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التشريق،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نكاح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الشغار،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الصلاة في الثوب المغصوب</w:t>
            </w:r>
          </w:p>
        </w:tc>
        <w:tc>
          <w:tcPr>
            <w:tcW w:w="1726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773B4F" w:rsidRPr="008C04DA" w:rsidTr="0024249A">
        <w:tc>
          <w:tcPr>
            <w:tcW w:w="72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11.</w:t>
            </w:r>
          </w:p>
        </w:tc>
        <w:tc>
          <w:tcPr>
            <w:tcW w:w="216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الحادي عشر</w:t>
            </w:r>
          </w:p>
        </w:tc>
        <w:tc>
          <w:tcPr>
            <w:tcW w:w="414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الاحتجاج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بالقراءة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الشاذة،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وجوب التتابع في صيام كفارة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اليمين،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وجوب النفقة على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القرابة،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قضاء رمضان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متتابعاً،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قطع يمين السارق</w:t>
            </w:r>
          </w:p>
        </w:tc>
        <w:tc>
          <w:tcPr>
            <w:tcW w:w="1726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773B4F" w:rsidRPr="008C04DA" w:rsidTr="0024249A">
        <w:tc>
          <w:tcPr>
            <w:tcW w:w="72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12.</w:t>
            </w:r>
          </w:p>
        </w:tc>
        <w:tc>
          <w:tcPr>
            <w:tcW w:w="216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الثاني عشر</w:t>
            </w:r>
          </w:p>
        </w:tc>
        <w:tc>
          <w:tcPr>
            <w:tcW w:w="414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الاحتجاج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بالمرسل،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من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الفروع: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نقض الوضوء بالقهقهة في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الصلاة،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وجوب القضاء على من أفسد صوم التطوع نقض الوضوء بمس المرأة</w:t>
            </w:r>
          </w:p>
        </w:tc>
        <w:tc>
          <w:tcPr>
            <w:tcW w:w="1726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773B4F" w:rsidRPr="008C04DA" w:rsidTr="0024249A">
        <w:tc>
          <w:tcPr>
            <w:tcW w:w="72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13.</w:t>
            </w:r>
          </w:p>
        </w:tc>
        <w:tc>
          <w:tcPr>
            <w:tcW w:w="216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الثالث عشر</w:t>
            </w:r>
          </w:p>
        </w:tc>
        <w:tc>
          <w:tcPr>
            <w:tcW w:w="414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العمل بخبر الواحد إذا خالف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القياس،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من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الفروع: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المصراة،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ثبوت المهر لمن مات عنها زوجها قبل الدخول</w:t>
            </w:r>
          </w:p>
        </w:tc>
        <w:tc>
          <w:tcPr>
            <w:tcW w:w="1726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773B4F" w:rsidRPr="008C04DA" w:rsidTr="0024249A">
        <w:tc>
          <w:tcPr>
            <w:tcW w:w="72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14.</w:t>
            </w:r>
          </w:p>
        </w:tc>
        <w:tc>
          <w:tcPr>
            <w:tcW w:w="216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الرابع عشر</w:t>
            </w:r>
          </w:p>
        </w:tc>
        <w:tc>
          <w:tcPr>
            <w:tcW w:w="414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الاختلاف في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العلة،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علة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الربويات،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حق الاجبار على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الزواج،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جريان القياس في الحدود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والكفارات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من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الفروع: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وجوب الكفارة على القاتل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العمد،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جريان القياس في الأسماء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اللغوية،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هل الخمر لا يطلق إلا على المأخوذ من العنب؟</w:t>
            </w:r>
          </w:p>
        </w:tc>
        <w:tc>
          <w:tcPr>
            <w:tcW w:w="1726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773B4F" w:rsidRPr="008C04DA" w:rsidTr="0024249A">
        <w:tc>
          <w:tcPr>
            <w:tcW w:w="72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15.</w:t>
            </w:r>
          </w:p>
        </w:tc>
        <w:tc>
          <w:tcPr>
            <w:tcW w:w="216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الخامس عشر</w:t>
            </w:r>
          </w:p>
        </w:tc>
        <w:tc>
          <w:tcPr>
            <w:tcW w:w="414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قول الصحابي من الفروع. بيع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العينة،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أكثر مدة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الحمل،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مقدار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أقل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الحيض،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زوجة المفقود. </w:t>
            </w: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الاستصحاب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. من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الفروع: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الصلح على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الانكار،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الحكم على المدعي عليه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بنكوله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عن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اليمين،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ارث المفقود</w:t>
            </w:r>
          </w:p>
        </w:tc>
        <w:tc>
          <w:tcPr>
            <w:tcW w:w="1726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773B4F" w:rsidRPr="008C04DA" w:rsidTr="0024249A">
        <w:tc>
          <w:tcPr>
            <w:tcW w:w="72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16.</w:t>
            </w:r>
          </w:p>
        </w:tc>
        <w:tc>
          <w:tcPr>
            <w:tcW w:w="2160" w:type="dxa"/>
          </w:tcPr>
          <w:p w:rsidR="00773B4F" w:rsidRPr="008C04DA" w:rsidRDefault="00773B4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السادس عشر</w:t>
            </w:r>
          </w:p>
        </w:tc>
        <w:tc>
          <w:tcPr>
            <w:tcW w:w="414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المصلحة المرسلة من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الفروع: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تحليف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المدعي عليه إذا لم يكن بينه وبين المدعي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مخالطة،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قتل الجماعة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بالواحد،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حبس مدعي الإفلاس إذا لم يعلم صدقه</w:t>
            </w:r>
          </w:p>
        </w:tc>
        <w:tc>
          <w:tcPr>
            <w:tcW w:w="1726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773B4F" w:rsidRPr="008C04DA" w:rsidRDefault="00773B4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</w:tbl>
    <w:p w:rsidR="00773B4F" w:rsidRDefault="00773B4F" w:rsidP="00773B4F">
      <w:pPr>
        <w:rPr>
          <w:rFonts w:cs="Simplified Arabic" w:hint="cs"/>
          <w:sz w:val="32"/>
          <w:szCs w:val="32"/>
          <w:rtl/>
          <w:lang w:bidi="ar-JO"/>
        </w:rPr>
      </w:pPr>
    </w:p>
    <w:p w:rsidR="00773B4F" w:rsidRDefault="00773B4F" w:rsidP="00773B4F">
      <w:pPr>
        <w:rPr>
          <w:rFonts w:cs="Simplified Arabic" w:hint="cs"/>
          <w:sz w:val="32"/>
          <w:szCs w:val="32"/>
          <w:rtl/>
          <w:lang w:bidi="ar-JO"/>
        </w:rPr>
      </w:pPr>
      <w:proofErr w:type="spellStart"/>
      <w:proofErr w:type="gramStart"/>
      <w:r>
        <w:rPr>
          <w:rFonts w:cs="Simplified Arabic" w:hint="cs"/>
          <w:sz w:val="32"/>
          <w:szCs w:val="32"/>
          <w:rtl/>
          <w:lang w:bidi="ar-JO"/>
        </w:rPr>
        <w:t>التقويم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امتحان أول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30 درجة</w:t>
      </w:r>
    </w:p>
    <w:p w:rsidR="00773B4F" w:rsidRDefault="00773B4F" w:rsidP="00773B4F">
      <w:pPr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ab/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بحث: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 مناقشة البحث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30 درجة</w:t>
      </w:r>
    </w:p>
    <w:p w:rsidR="00773B4F" w:rsidRDefault="00773B4F" w:rsidP="00773B4F">
      <w:pPr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ab/>
        <w:t xml:space="preserve">امتحان نهائي 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40 درجة</w:t>
      </w:r>
    </w:p>
    <w:p w:rsidR="00773B4F" w:rsidRDefault="00773B4F" w:rsidP="00773B4F">
      <w:pPr>
        <w:rPr>
          <w:rFonts w:cs="Simplified Arabic" w:hint="cs"/>
          <w:sz w:val="32"/>
          <w:szCs w:val="32"/>
          <w:rtl/>
          <w:lang w:bidi="ar-JO"/>
        </w:rPr>
      </w:pPr>
      <w:proofErr w:type="spellStart"/>
      <w:proofErr w:type="gramStart"/>
      <w:r>
        <w:rPr>
          <w:rFonts w:cs="Simplified Arabic" w:hint="cs"/>
          <w:sz w:val="32"/>
          <w:szCs w:val="32"/>
          <w:rtl/>
          <w:lang w:bidi="ar-JO"/>
        </w:rPr>
        <w:t>المجموع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100درجة</w:t>
      </w:r>
      <w:proofErr w:type="spellEnd"/>
    </w:p>
    <w:p w:rsidR="00773B4F" w:rsidRDefault="00773B4F" w:rsidP="00773B4F">
      <w:pPr>
        <w:rPr>
          <w:rFonts w:hint="cs"/>
          <w:rtl/>
          <w:lang w:bidi="ar-JO"/>
        </w:rPr>
      </w:pPr>
    </w:p>
    <w:p w:rsidR="006D06C2" w:rsidRDefault="006D06C2"/>
    <w:sectPr w:rsidR="006D06C2" w:rsidSect="00A63D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7574"/>
    <w:multiLevelType w:val="hybridMultilevel"/>
    <w:tmpl w:val="A7B20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3B4F"/>
    <w:rsid w:val="006774B1"/>
    <w:rsid w:val="006D06C2"/>
    <w:rsid w:val="00773B4F"/>
    <w:rsid w:val="008D4E44"/>
    <w:rsid w:val="00A63D2A"/>
    <w:rsid w:val="00CF4B74"/>
    <w:rsid w:val="00FB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F4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F4B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F4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CF4B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CF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CF4B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CF4B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CF4B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CF4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CF4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CF4B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CF4B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rsid w:val="00CF4B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rsid w:val="00CF4B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rsid w:val="00CF4B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rsid w:val="00CF4B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CF4B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CF4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CF4B74"/>
    <w:pPr>
      <w:bidi/>
      <w:spacing w:after="0" w:line="240" w:lineRule="auto"/>
    </w:pPr>
  </w:style>
  <w:style w:type="paragraph" w:styleId="a5">
    <w:name w:val="List Paragraph"/>
    <w:basedOn w:val="a"/>
    <w:uiPriority w:val="34"/>
    <w:qFormat/>
    <w:rsid w:val="00CF4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rabeeh</dc:creator>
  <cp:lastModifiedBy>rabeeh</cp:lastModifiedBy>
  <cp:revision>1</cp:revision>
  <dcterms:created xsi:type="dcterms:W3CDTF">2020-11-25T10:04:00Z</dcterms:created>
  <dcterms:modified xsi:type="dcterms:W3CDTF">2020-11-25T10:05:00Z</dcterms:modified>
</cp:coreProperties>
</file>