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632" w:type="dxa"/>
        <w:jc w:val="center"/>
        <w:tblInd w:w="-891" w:type="dxa"/>
        <w:tblLook w:val="01E0"/>
      </w:tblPr>
      <w:tblGrid>
        <w:gridCol w:w="2835"/>
        <w:gridCol w:w="7797"/>
      </w:tblGrid>
      <w:tr w:rsidR="00C114F5" w:rsidRPr="00D3778D"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C114F5" w:rsidRPr="00D3778D" w:rsidRDefault="00C114F5"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اسم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C114F5" w:rsidRPr="00D3778D" w:rsidRDefault="00C114F5"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 xml:space="preserve">تصميم وإنتاج </w:t>
            </w:r>
            <w:r w:rsidRPr="00D3778D">
              <w:rPr>
                <w:rFonts w:ascii="Sakkal Majalla" w:hAnsi="Sakkal Majalla" w:cs="Sakkal Majalla" w:hint="cs"/>
                <w:sz w:val="28"/>
                <w:szCs w:val="28"/>
                <w:rtl/>
                <w:lang w:bidi="ar-JO"/>
              </w:rPr>
              <w:t>ال</w:t>
            </w:r>
            <w:r w:rsidRPr="00D3778D">
              <w:rPr>
                <w:rFonts w:ascii="Sakkal Majalla" w:hAnsi="Sakkal Majalla" w:cs="Sakkal Majalla"/>
                <w:sz w:val="28"/>
                <w:szCs w:val="28"/>
                <w:rtl/>
                <w:lang w:bidi="ar-JO"/>
              </w:rPr>
              <w:t>وسائل التعليمية</w:t>
            </w:r>
          </w:p>
        </w:tc>
      </w:tr>
      <w:tr w:rsidR="00C114F5" w:rsidRPr="00D3778D"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C114F5" w:rsidRPr="00D3778D" w:rsidRDefault="00C114F5"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رقم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C114F5" w:rsidRPr="00D3778D" w:rsidRDefault="00C114F5"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701415</w:t>
            </w:r>
          </w:p>
        </w:tc>
      </w:tr>
      <w:tr w:rsidR="00C114F5" w:rsidRPr="00D3778D"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C114F5" w:rsidRPr="00D3778D" w:rsidRDefault="00C114F5"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الساعات المعتمدة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C114F5" w:rsidRPr="00D3778D" w:rsidRDefault="00C114F5"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(3) ساعات</w:t>
            </w:r>
          </w:p>
        </w:tc>
      </w:tr>
      <w:tr w:rsidR="00C114F5" w:rsidRPr="00D3778D"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C114F5" w:rsidRPr="00D3778D" w:rsidRDefault="00C114F5"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تصنيف المادة: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C114F5" w:rsidRPr="00D3778D" w:rsidRDefault="00C114F5"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إجباري تخصص</w:t>
            </w:r>
          </w:p>
        </w:tc>
      </w:tr>
      <w:tr w:rsidR="00C114F5" w:rsidRPr="00D3778D" w:rsidTr="00C44C0A">
        <w:trPr>
          <w:jc w:val="center"/>
        </w:trPr>
        <w:tc>
          <w:tcPr>
            <w:tcW w:w="10632" w:type="dxa"/>
            <w:gridSpan w:val="2"/>
            <w:tcBorders>
              <w:top w:val="single" w:sz="4" w:space="0" w:color="auto"/>
              <w:left w:val="single" w:sz="4" w:space="0" w:color="auto"/>
              <w:bottom w:val="single" w:sz="4" w:space="0" w:color="auto"/>
              <w:right w:val="single" w:sz="4" w:space="0" w:color="auto"/>
            </w:tcBorders>
            <w:shd w:val="clear" w:color="auto" w:fill="E6E6E6"/>
          </w:tcPr>
          <w:p w:rsidR="00C114F5" w:rsidRPr="00D3778D" w:rsidRDefault="00C114F5"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وصف المساق :</w:t>
            </w:r>
          </w:p>
        </w:tc>
      </w:tr>
      <w:tr w:rsidR="00C114F5" w:rsidRPr="0021268E" w:rsidTr="00C44C0A">
        <w:trPr>
          <w:jc w:val="center"/>
        </w:trPr>
        <w:tc>
          <w:tcPr>
            <w:tcW w:w="10632" w:type="dxa"/>
            <w:gridSpan w:val="2"/>
            <w:tcBorders>
              <w:top w:val="single" w:sz="4" w:space="0" w:color="auto"/>
              <w:left w:val="single" w:sz="4" w:space="0" w:color="auto"/>
              <w:bottom w:val="single" w:sz="4" w:space="0" w:color="auto"/>
              <w:right w:val="single" w:sz="4" w:space="0" w:color="auto"/>
            </w:tcBorders>
          </w:tcPr>
          <w:p w:rsidR="00C114F5" w:rsidRPr="00D3778D" w:rsidRDefault="00C114F5" w:rsidP="00C44C0A">
            <w:pPr>
              <w:bidi/>
              <w:spacing w:line="276" w:lineRule="auto"/>
              <w:jc w:val="lowKashida"/>
              <w:rPr>
                <w:rFonts w:ascii="Sakkal Majalla" w:hAnsi="Sakkal Majalla" w:cs="Sakkal Majalla"/>
                <w:sz w:val="28"/>
                <w:szCs w:val="28"/>
                <w:lang w:bidi="ar-JO"/>
              </w:rPr>
            </w:pPr>
            <w:r w:rsidRPr="00D3778D">
              <w:rPr>
                <w:rFonts w:ascii="Sakkal Majalla" w:hAnsi="Sakkal Majalla" w:cs="Sakkal Majalla"/>
                <w:sz w:val="28"/>
                <w:szCs w:val="28"/>
                <w:rtl/>
                <w:lang w:bidi="ar-JO"/>
              </w:rPr>
              <w:t xml:space="preserve">     </w:t>
            </w:r>
            <w:r w:rsidRPr="00D3778D">
              <w:rPr>
                <w:rFonts w:ascii="Sakkal Majalla" w:hAnsi="Sakkal Majalla" w:cs="Sakkal Majalla" w:hint="cs"/>
                <w:sz w:val="28"/>
                <w:szCs w:val="28"/>
                <w:rtl/>
                <w:lang w:bidi="ar-JO"/>
              </w:rPr>
              <w:t xml:space="preserve">       </w:t>
            </w:r>
            <w:r w:rsidRPr="00D3778D">
              <w:rPr>
                <w:rFonts w:ascii="Sakkal Majalla" w:hAnsi="Sakkal Majalla" w:cs="Sakkal Majalla"/>
                <w:sz w:val="28"/>
                <w:szCs w:val="28"/>
                <w:rtl/>
                <w:lang w:bidi="ar-JO"/>
              </w:rPr>
              <w:t>يتناول هذا المساق الوسائل التعليمية السمعية والبصرية، والسمعية البصرية الثابتة والمتحركة والمتفاعلة، ومنحنى النظم وعلاقته بتكنولوجيا التعليم، وتصنيفات الوسائل التعليمية ومصادرها، ودورها في عملية التعلم والتعليم، وأثر الإدراك والاتصال في تصميم الوسائل التعليمية، كما يتناول المساق الشفافيات وأشرطة التسجيل السمعية وأشرطة الفيديو وأقراص الحاسوب، إضافة الى التعليم بمساعدة الحاسوب ن ويخلص المساق الى تطبيقات عملية في تصميم وانتاج واستخدام الوسائل التعليمية في مختلف المباحث الدراسية.</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C114F5"/>
    <w:rsid w:val="00B357BC"/>
    <w:rsid w:val="00C114F5"/>
    <w:rsid w:val="00C777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4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14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2017-04-23T09:17:00Z</dcterms:created>
  <dcterms:modified xsi:type="dcterms:W3CDTF">2017-04-23T09:18:00Z</dcterms:modified>
</cp:coreProperties>
</file>