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Pr="00A72F5D" w:rsidRDefault="00261118" w:rsidP="00261118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261118" w:rsidRPr="00A72F5D" w:rsidRDefault="00261118" w:rsidP="00261118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261118" w:rsidRPr="00A72F5D" w:rsidRDefault="00261118" w:rsidP="00261118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261118" w:rsidRDefault="00261118" w:rsidP="00261118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دراسة مقارنة في </w:t>
      </w:r>
      <w:proofErr w:type="gramStart"/>
      <w:r>
        <w:rPr>
          <w:rFonts w:hint="cs"/>
          <w:sz w:val="40"/>
          <w:szCs w:val="40"/>
          <w:rtl/>
          <w:lang w:bidi="ar-JO"/>
        </w:rPr>
        <w:t>فقه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المعاملات </w:t>
      </w:r>
      <w:proofErr w:type="spellStart"/>
      <w:r>
        <w:rPr>
          <w:rFonts w:hint="cs"/>
          <w:sz w:val="40"/>
          <w:szCs w:val="40"/>
          <w:rtl/>
          <w:lang w:bidi="ar-JO"/>
        </w:rPr>
        <w:t>-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الشركات</w:t>
      </w:r>
    </w:p>
    <w:p w:rsidR="00261118" w:rsidRPr="00A72F5D" w:rsidRDefault="00261118" w:rsidP="00261118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403760</w:t>
      </w:r>
    </w:p>
    <w:p w:rsidR="00261118" w:rsidRPr="00A72F5D" w:rsidRDefault="00261118" w:rsidP="00261118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عدد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الساعات: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</w:t>
      </w:r>
      <w:proofErr w:type="gramStart"/>
      <w:r>
        <w:rPr>
          <w:rFonts w:hint="cs"/>
          <w:sz w:val="52"/>
          <w:szCs w:val="52"/>
          <w:rtl/>
          <w:lang w:bidi="ar-JO"/>
        </w:rPr>
        <w:t>ساعة</w:t>
      </w:r>
      <w:proofErr w:type="gramEnd"/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hint="cs"/>
          <w:rtl/>
          <w:lang w:bidi="ar-JO"/>
        </w:rPr>
      </w:pPr>
    </w:p>
    <w:p w:rsidR="00261118" w:rsidRDefault="00261118" w:rsidP="00261118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المادة:</w:t>
      </w:r>
    </w:p>
    <w:p w:rsidR="00261118" w:rsidRDefault="00261118" w:rsidP="00261118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 xml:space="preserve">تمهيد في معنى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الشركة،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أدلة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مشروعيتها،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أركان الشركات وشروطها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بعامة،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تكييفها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الشرعي،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انفساخها،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أهم أنواع الشركات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العنان،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الأعمال (الأبدان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المفاوضة،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المضاربة،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الوجوه،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المساهمة،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مدى انطباق الشركات على القواعد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الشرعية،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التطبيقات المعاصرة لشركة المضاربة في البنوك والمؤسسات الاقتصادية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الإسلامية،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الشركات المعاصرة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المساهمة،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الخاصة المحدودة.</w:t>
      </w:r>
    </w:p>
    <w:p w:rsidR="00261118" w:rsidRPr="00583909" w:rsidRDefault="00261118" w:rsidP="00261118">
      <w:pPr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261118" w:rsidRPr="00583909" w:rsidRDefault="00261118" w:rsidP="00261118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أهداف </w:t>
      </w:r>
      <w:proofErr w:type="spell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المادة:</w:t>
      </w:r>
      <w:proofErr w:type="spellEnd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تهدف هذه المادة </w:t>
      </w:r>
      <w:proofErr w:type="gram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إلى</w:t>
      </w:r>
      <w:proofErr w:type="gramEnd"/>
    </w:p>
    <w:p w:rsidR="00261118" w:rsidRPr="00E80E81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انفتاح ذهن الطالب على المعاملات المالية في الإسلام.</w:t>
      </w:r>
    </w:p>
    <w:p w:rsidR="00261118" w:rsidRPr="00E80E81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لا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تعارض بين العصر ونظام الشركات في الإسلام.</w:t>
      </w:r>
    </w:p>
    <w:p w:rsidR="00261118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بالمذاهب الثمانية وما اندرس من فقه الصحابة والتابعين.</w:t>
      </w:r>
    </w:p>
    <w:p w:rsidR="00261118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إشعار الطالب بأهمية الشركات للحياة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العامة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وأن لا غنى للجميع عنها.</w:t>
      </w:r>
    </w:p>
    <w:p w:rsidR="00261118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بأهم أنواع الشركات ومقارنة ذلك بالشركات المعاصرة.</w:t>
      </w:r>
    </w:p>
    <w:p w:rsidR="00261118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تطبيقات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في أنواع الشركات المساهمة والخاصة.</w:t>
      </w:r>
    </w:p>
    <w:p w:rsidR="00261118" w:rsidRPr="00E80E81" w:rsidRDefault="00261118" w:rsidP="0026111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بالسندات (المضاربة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وبالأسهم.</w:t>
      </w:r>
    </w:p>
    <w:p w:rsidR="00261118" w:rsidRPr="00E80E81" w:rsidRDefault="00261118" w:rsidP="00261118">
      <w:pPr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261118" w:rsidRDefault="00261118" w:rsidP="0026111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261118" w:rsidRDefault="00261118" w:rsidP="00261118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المراجع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المعتمدة: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261118" w:rsidRDefault="00261118" w:rsidP="00261118">
      <w:pPr>
        <w:rPr>
          <w:rFonts w:hint="cs"/>
          <w:sz w:val="32"/>
          <w:szCs w:val="32"/>
          <w:rtl/>
          <w:lang w:bidi="ar-JO"/>
        </w:rPr>
      </w:pPr>
      <w:proofErr w:type="spellStart"/>
      <w:r w:rsidRPr="00CE369E">
        <w:rPr>
          <w:rFonts w:hint="cs"/>
          <w:sz w:val="32"/>
          <w:szCs w:val="32"/>
          <w:rtl/>
          <w:lang w:bidi="ar-JO"/>
        </w:rPr>
        <w:t>1-</w:t>
      </w:r>
      <w:proofErr w:type="spellEnd"/>
      <w:r w:rsidRPr="00CE369E">
        <w:rPr>
          <w:rFonts w:hint="cs"/>
          <w:sz w:val="32"/>
          <w:szCs w:val="32"/>
          <w:rtl/>
          <w:lang w:bidi="ar-JO"/>
        </w:rPr>
        <w:t xml:space="preserve"> الشركات في الإسلام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أ.د. عبد العزيز الخياط</w:t>
      </w:r>
    </w:p>
    <w:p w:rsidR="00261118" w:rsidRDefault="00261118" w:rsidP="00261118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2-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الفقه الإسلامي وأدلته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أ.د. وهبي </w:t>
      </w:r>
      <w:proofErr w:type="spellStart"/>
      <w:r>
        <w:rPr>
          <w:rFonts w:hint="cs"/>
          <w:sz w:val="32"/>
          <w:szCs w:val="32"/>
          <w:rtl/>
          <w:lang w:bidi="ar-JO"/>
        </w:rPr>
        <w:t>الزحيلي</w:t>
      </w:r>
      <w:proofErr w:type="spellEnd"/>
    </w:p>
    <w:p w:rsidR="00261118" w:rsidRDefault="00261118" w:rsidP="00261118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3-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الشركات في الإسلام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الشيخ علي الخفيف</w:t>
      </w:r>
    </w:p>
    <w:p w:rsidR="00261118" w:rsidRDefault="00261118" w:rsidP="00261118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4-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المعاملات المالية في الشريعة الإسلامية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أ.د. جبر </w:t>
      </w:r>
      <w:proofErr w:type="spellStart"/>
      <w:r>
        <w:rPr>
          <w:rFonts w:hint="cs"/>
          <w:sz w:val="32"/>
          <w:szCs w:val="32"/>
          <w:rtl/>
          <w:lang w:bidi="ar-JO"/>
        </w:rPr>
        <w:t>الفضيلات</w:t>
      </w:r>
      <w:proofErr w:type="spellEnd"/>
    </w:p>
    <w:p w:rsidR="00261118" w:rsidRPr="009D1F21" w:rsidRDefault="00261118" w:rsidP="00261118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9D1F21">
        <w:rPr>
          <w:rFonts w:hint="cs"/>
          <w:b/>
          <w:bCs/>
          <w:sz w:val="32"/>
          <w:szCs w:val="32"/>
          <w:rtl/>
          <w:lang w:bidi="ar-JO"/>
        </w:rPr>
        <w:t>المراجع</w:t>
      </w:r>
      <w:proofErr w:type="gramEnd"/>
      <w:r w:rsidRPr="009D1F21">
        <w:rPr>
          <w:rFonts w:hint="cs"/>
          <w:b/>
          <w:bCs/>
          <w:sz w:val="32"/>
          <w:szCs w:val="32"/>
          <w:rtl/>
          <w:lang w:bidi="ar-JO"/>
        </w:rPr>
        <w:t xml:space="preserve"> الثانوية:</w:t>
      </w:r>
    </w:p>
    <w:p w:rsidR="00261118" w:rsidRPr="00CE369E" w:rsidRDefault="00261118" w:rsidP="0026111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باب الشركات في كتب الفقه الإسلامي بمذاهبه الثمانية </w:t>
      </w:r>
    </w:p>
    <w:p w:rsidR="00261118" w:rsidRPr="00A72F5D" w:rsidRDefault="00261118" w:rsidP="00261118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261118" w:rsidRDefault="00261118" w:rsidP="00261118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340"/>
        <w:gridCol w:w="2672"/>
        <w:gridCol w:w="2548"/>
        <w:gridCol w:w="1800"/>
      </w:tblGrid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الشركات تعريفاً وأدلة مشروعيته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تقسيمات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الشركات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الفرق بين الشركات  الاباحة </w:t>
            </w:r>
            <w:proofErr w:type="spellStart"/>
            <w:r w:rsidRPr="008C04DA">
              <w:rPr>
                <w:sz w:val="32"/>
                <w:szCs w:val="32"/>
                <w:rtl/>
                <w:lang w:bidi="ar-JO"/>
              </w:rPr>
              <w:t>–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الأملاك </w:t>
            </w:r>
          </w:p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العقود</w:t>
            </w:r>
            <w:proofErr w:type="gramEnd"/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أركان العقد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الصيغة</w:t>
            </w:r>
            <w:proofErr w:type="gramEnd"/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محل العقد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صيغة عقد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الشركة: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عقد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مسمى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،</w:t>
            </w:r>
            <w:proofErr w:type="spellEnd"/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عقد شكلي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شروط الشركة 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بطلان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الشركة 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شركة العنان والمفاوضة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شركة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الأعمال والأبدان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شركة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الأعمال والأبدان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شركة الوجوه والصنائع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72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340" w:type="dxa"/>
          </w:tcPr>
          <w:p w:rsidR="00261118" w:rsidRPr="008C04DA" w:rsidRDefault="00261118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2672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شركة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المضاربة</w:t>
            </w:r>
          </w:p>
        </w:tc>
        <w:tc>
          <w:tcPr>
            <w:tcW w:w="2548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كتب الفقه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المعتمدة</w:t>
            </w:r>
            <w:proofErr w:type="gramEnd"/>
          </w:p>
        </w:tc>
        <w:tc>
          <w:tcPr>
            <w:tcW w:w="1800" w:type="dxa"/>
          </w:tcPr>
          <w:p w:rsidR="00261118" w:rsidRPr="008C04DA" w:rsidRDefault="00261118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10080" w:type="dxa"/>
            <w:gridSpan w:val="5"/>
          </w:tcPr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الكتاب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المقرر: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الشركات في الشريعة الإسلامية والقانون الوضعي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أ.د. عبد العزيز الخياط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أمان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النشر: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مؤسسة الرسالة</w:t>
            </w:r>
          </w:p>
        </w:tc>
      </w:tr>
      <w:tr w:rsidR="00261118" w:rsidRPr="008C04DA" w:rsidTr="0024249A">
        <w:tc>
          <w:tcPr>
            <w:tcW w:w="10080" w:type="dxa"/>
            <w:gridSpan w:val="5"/>
          </w:tcPr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المساندة</w:t>
            </w: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الشركات في الفقه الإسلامي بحوث مقارنة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الشيخ علي الخفيف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2-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المعاملات المالية في الشريعة الإسلامية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جبر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الفضيلات</w:t>
            </w:r>
            <w:proofErr w:type="spellEnd"/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3-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الفقه الإسلامي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وأدلته/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وهبه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الزحيلي</w:t>
            </w:r>
            <w:proofErr w:type="spellEnd"/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أماكن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النشر: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دار النهضة العربية </w:t>
            </w:r>
            <w:proofErr w:type="spellStart"/>
            <w:r w:rsidRPr="008C04DA">
              <w:rPr>
                <w:sz w:val="32"/>
                <w:szCs w:val="32"/>
                <w:rtl/>
                <w:lang w:bidi="ar-JO"/>
              </w:rPr>
              <w:t>–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القاهرة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2-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طباعة الأكاديمية العربية للعلوم المالية والمصرفية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261118" w:rsidRPr="008C04DA" w:rsidTr="0024249A">
        <w:tc>
          <w:tcPr>
            <w:tcW w:w="10080" w:type="dxa"/>
            <w:gridSpan w:val="5"/>
          </w:tcPr>
          <w:p w:rsidR="00261118" w:rsidRPr="008C04DA" w:rsidRDefault="00261118" w:rsidP="0024249A">
            <w:pPr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مصادر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إضافية:</w:t>
            </w:r>
          </w:p>
          <w:p w:rsidR="00261118" w:rsidRPr="008C04DA" w:rsidRDefault="00261118" w:rsidP="0024249A">
            <w:pPr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المراجع الأصلية من أمهات الكتب الفقهية لجميع المذاهب الفقهية.</w:t>
            </w:r>
          </w:p>
        </w:tc>
      </w:tr>
    </w:tbl>
    <w:p w:rsidR="00261118" w:rsidRDefault="00261118" w:rsidP="00261118">
      <w:pPr>
        <w:rPr>
          <w:rFonts w:hint="cs"/>
          <w:sz w:val="36"/>
          <w:szCs w:val="36"/>
          <w:rtl/>
          <w:lang w:bidi="ar-JO"/>
        </w:rPr>
      </w:pPr>
    </w:p>
    <w:p w:rsidR="00261118" w:rsidRDefault="00261118" w:rsidP="00261118">
      <w:pPr>
        <w:rPr>
          <w:rFonts w:hint="cs"/>
          <w:sz w:val="36"/>
          <w:szCs w:val="36"/>
          <w:rtl/>
          <w:lang w:bidi="ar-JO"/>
        </w:rPr>
      </w:pPr>
    </w:p>
    <w:p w:rsidR="006D06C2" w:rsidRDefault="006D06C2">
      <w:pPr>
        <w:rPr>
          <w:lang w:bidi="ar-JO"/>
        </w:rPr>
      </w:pPr>
    </w:p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ED9"/>
    <w:multiLevelType w:val="hybridMultilevel"/>
    <w:tmpl w:val="AC746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18"/>
    <w:rsid w:val="00261118"/>
    <w:rsid w:val="006774B1"/>
    <w:rsid w:val="006D06C2"/>
    <w:rsid w:val="008D4E44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2020-11-25T10:00:00Z</dcterms:created>
  <dcterms:modified xsi:type="dcterms:W3CDTF">2020-11-25T10:00:00Z</dcterms:modified>
</cp:coreProperties>
</file>