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4E" w:rsidRDefault="009E3D4E" w:rsidP="009E3D4E">
      <w:pPr>
        <w:bidi/>
        <w:rPr>
          <w:rFonts w:ascii="Simplified Arabic" w:hAnsi="Simplified Arabic" w:cs="Simplified Arabic"/>
          <w:sz w:val="28"/>
          <w:szCs w:val="28"/>
          <w:rtl/>
        </w:rPr>
      </w:pPr>
    </w:p>
    <w:p w:rsidR="009E3D4E" w:rsidRDefault="009E3D4E" w:rsidP="009E3D4E">
      <w:pPr>
        <w:bidi/>
        <w:rPr>
          <w:rFonts w:ascii="Simplified Arabic" w:hAnsi="Simplified Arabic" w:cs="Simplified Arabic"/>
          <w:sz w:val="28"/>
          <w:szCs w:val="28"/>
          <w:rtl/>
        </w:rPr>
      </w:pPr>
    </w:p>
    <w:tbl>
      <w:tblPr>
        <w:tblStyle w:val="TableGrid"/>
        <w:tblpPr w:leftFromText="180" w:rightFromText="180" w:horzAnchor="margin" w:tblpXSpec="center" w:tblpY="777"/>
        <w:bidiVisual/>
        <w:tblW w:w="10632" w:type="dxa"/>
        <w:tblLook w:val="01E0" w:firstRow="1" w:lastRow="1" w:firstColumn="1" w:lastColumn="1" w:noHBand="0" w:noVBand="0"/>
      </w:tblPr>
      <w:tblGrid>
        <w:gridCol w:w="2835"/>
        <w:gridCol w:w="7797"/>
      </w:tblGrid>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Pr="00F6013E">
              <w:rPr>
                <w:rFonts w:ascii="Simplified Arabic" w:hAnsi="Simplified Arabic" w:cs="Simplified Arabic"/>
                <w:b/>
                <w:bCs/>
                <w:sz w:val="28"/>
                <w:szCs w:val="28"/>
                <w:rtl/>
                <w:lang w:bidi="ar-JO"/>
              </w:rPr>
              <w:t>مناهج البحث</w:t>
            </w:r>
            <w:r>
              <w:rPr>
                <w:rFonts w:ascii="Simplified Arabic" w:hAnsi="Simplified Arabic" w:cs="Simplified Arabic" w:hint="cs"/>
                <w:b/>
                <w:bCs/>
                <w:sz w:val="28"/>
                <w:szCs w:val="28"/>
                <w:rtl/>
                <w:lang w:bidi="ar-JO"/>
              </w:rPr>
              <w:t xml:space="preserve"> في الإدارة</w:t>
            </w:r>
            <w:r w:rsidRPr="00F6013E">
              <w:rPr>
                <w:rFonts w:ascii="Simplified Arabic" w:hAnsi="Simplified Arabic" w:cs="Simplified Arabic"/>
                <w:b/>
                <w:bCs/>
                <w:sz w:val="28"/>
                <w:szCs w:val="28"/>
                <w:rtl/>
                <w:lang w:bidi="ar-JO"/>
              </w:rPr>
              <w:t xml:space="preserve"> التربوي</w:t>
            </w:r>
            <w:r>
              <w:rPr>
                <w:rFonts w:ascii="Simplified Arabic" w:hAnsi="Simplified Arabic" w:cs="Simplified Arabic" w:hint="cs"/>
                <w:b/>
                <w:bCs/>
                <w:sz w:val="28"/>
                <w:szCs w:val="28"/>
                <w:rtl/>
                <w:lang w:bidi="ar-JO"/>
              </w:rPr>
              <w:t>ة</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705</w:t>
            </w:r>
            <w:r w:rsidRPr="00F6013E">
              <w:rPr>
                <w:rFonts w:ascii="Simplified Arabic" w:hAnsi="Simplified Arabic" w:cs="Simplified Arabic" w:hint="cs"/>
                <w:b/>
                <w:bCs/>
                <w:sz w:val="28"/>
                <w:szCs w:val="28"/>
                <w:rtl/>
                <w:lang w:bidi="ar-JO"/>
              </w:rPr>
              <w:t>622</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Pr="00F6013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(3) ساعات</w:t>
            </w:r>
          </w:p>
        </w:tc>
      </w:tr>
      <w:tr w:rsidR="009E3D4E" w:rsidRPr="00F6013E" w:rsidTr="009E3D4E">
        <w:tc>
          <w:tcPr>
            <w:tcW w:w="2835"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تصنيف المساق</w:t>
            </w:r>
            <w:r>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إجباري تخصص</w:t>
            </w:r>
          </w:p>
        </w:tc>
      </w:tr>
      <w:tr w:rsidR="009E3D4E" w:rsidRPr="00F6013E" w:rsidTr="009E3D4E">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9E3D4E" w:rsidRPr="00F6013E" w:rsidRDefault="009E3D4E" w:rsidP="009E3D4E">
            <w:pPr>
              <w:bidi/>
              <w:rPr>
                <w:rFonts w:ascii="Simplified Arabic" w:hAnsi="Simplified Arabic" w:cs="Simplified Arabic"/>
                <w:b/>
                <w:bCs/>
                <w:sz w:val="28"/>
                <w:szCs w:val="28"/>
                <w:lang w:bidi="ar-JO"/>
              </w:rPr>
            </w:pPr>
            <w:r w:rsidRPr="00F6013E">
              <w:rPr>
                <w:rFonts w:ascii="Simplified Arabic" w:hAnsi="Simplified Arabic" w:cs="Simplified Arabic"/>
                <w:b/>
                <w:bCs/>
                <w:sz w:val="28"/>
                <w:szCs w:val="28"/>
                <w:rtl/>
                <w:lang w:bidi="ar-JO"/>
              </w:rPr>
              <w:t>وصف المساق:</w:t>
            </w:r>
          </w:p>
        </w:tc>
      </w:tr>
      <w:tr w:rsidR="009E3D4E" w:rsidRPr="00D97DAC" w:rsidTr="009E3D4E">
        <w:tc>
          <w:tcPr>
            <w:tcW w:w="10632" w:type="dxa"/>
            <w:gridSpan w:val="2"/>
            <w:tcBorders>
              <w:top w:val="single" w:sz="4" w:space="0" w:color="auto"/>
              <w:left w:val="single" w:sz="4" w:space="0" w:color="auto"/>
              <w:bottom w:val="single" w:sz="4" w:space="0" w:color="auto"/>
              <w:right w:val="single" w:sz="4" w:space="0" w:color="auto"/>
            </w:tcBorders>
          </w:tcPr>
          <w:p w:rsidR="009E3D4E" w:rsidRPr="00D97DAC" w:rsidRDefault="009E3D4E" w:rsidP="009E3D4E">
            <w:pPr>
              <w:bidi/>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يركز هذا المساق على المفاهيم الأساسية لأهم المجالات البحثية في المناهج وأساليب التدريس وإستراتيجياته، ويتناول المناهج والأساليب والإستراتيجيات الكمية والنوعية المستخدمة في هذه المجالات، وبالتالي فإنه يتوصل إلى أهم النتائج في كل مجال من مجالاته. كما إنه يتناول تقويم الأبحاث العلمية من نواحي عدة، منها: إعداد المواد التعليمية، وتنظيم محتوى المنهاج، وآثار كل منها على المعلم (الملقي) والطالب (المتلقي). كما أنه يدرس أو يوضح دور كل من المعلم والمتعلم ومدير المدرسة في تقويم المنهج وتطويره، وتغير المناهج وأثرها في تنمية التفكير العلمي الإبداعي الناقد، والمنهاج الخفي والصريح، وسيكولوجية المناهج وتوصيفها، وضبط المناهج وجودتها.</w:t>
            </w:r>
          </w:p>
        </w:tc>
      </w:tr>
    </w:tbl>
    <w:p w:rsidR="009E3D4E" w:rsidRPr="009406E1" w:rsidRDefault="009E3D4E" w:rsidP="009E3D4E">
      <w:pPr>
        <w:bidi/>
        <w:rPr>
          <w:rFonts w:ascii="Simplified Arabic" w:hAnsi="Simplified Arabic" w:cs="Simplified Arabic"/>
          <w:sz w:val="28"/>
          <w:szCs w:val="28"/>
          <w:rtl/>
        </w:rPr>
      </w:pPr>
    </w:p>
    <w:p w:rsidR="006F1E40" w:rsidRDefault="006F1E40"/>
    <w:p w:rsidR="00966D57" w:rsidRDefault="00966D57"/>
    <w:p w:rsidR="00966D57" w:rsidRDefault="00966D57"/>
    <w:p w:rsidR="00966D57" w:rsidRDefault="00966D57"/>
    <w:p w:rsidR="00966D57" w:rsidRPr="0011622D" w:rsidRDefault="00966D57">
      <w:pPr>
        <w:rPr>
          <w:sz w:val="32"/>
          <w:szCs w:val="32"/>
        </w:rPr>
      </w:pPr>
      <w:r w:rsidRPr="0011622D">
        <w:rPr>
          <w:sz w:val="32"/>
          <w:szCs w:val="32"/>
        </w:rPr>
        <w:t>This course focuses on the basic concepts of the most important research areas in curricula, teaching methods and strategies, and deals with the quantitative and qualitative approaches, methods, and strategies used in these areas, and thus it arrives at the most important results in each of its fields. It also deals with evaluating scientific research from several aspects, including: preparing educational materials, organizi</w:t>
      </w:r>
      <w:bookmarkStart w:id="0" w:name="_GoBack"/>
      <w:bookmarkEnd w:id="0"/>
      <w:r w:rsidRPr="0011622D">
        <w:rPr>
          <w:sz w:val="32"/>
          <w:szCs w:val="32"/>
        </w:rPr>
        <w:t xml:space="preserve">ng curriculum content, and the effects of each of them on the teacher (the mentor) and the student (the recipient). It also studies or clarifies the role of the teacher, the learner and the school principal in evaluating and developing the curriculum, changing the curriculum and its impact on the development of critical creative scientific </w:t>
      </w:r>
      <w:r w:rsidRPr="0011622D">
        <w:rPr>
          <w:sz w:val="32"/>
          <w:szCs w:val="32"/>
        </w:rPr>
        <w:lastRenderedPageBreak/>
        <w:t>thinking, the hidden and explicit curriculum, the psychology and description of the curriculum, and controlling the curriculum and its quality.</w:t>
      </w:r>
    </w:p>
    <w:sectPr w:rsidR="00966D57" w:rsidRPr="0011622D" w:rsidSect="002F59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4E"/>
    <w:rsid w:val="0011622D"/>
    <w:rsid w:val="002F5957"/>
    <w:rsid w:val="00387760"/>
    <w:rsid w:val="0065343A"/>
    <w:rsid w:val="006F1E40"/>
    <w:rsid w:val="00966D57"/>
    <w:rsid w:val="009E3D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38AAC-6A7D-4C43-BD87-D32BFAA7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3D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Trbeh</dc:creator>
  <cp:keywords/>
  <dc:description/>
  <cp:lastModifiedBy>NTC</cp:lastModifiedBy>
  <cp:revision>6</cp:revision>
  <dcterms:created xsi:type="dcterms:W3CDTF">2020-12-22T09:19:00Z</dcterms:created>
  <dcterms:modified xsi:type="dcterms:W3CDTF">2021-01-07T19:35:00Z</dcterms:modified>
</cp:coreProperties>
</file>