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1F" w:rsidRPr="00673A1C" w:rsidRDefault="0083361F" w:rsidP="0083361F">
      <w:pPr>
        <w:jc w:val="lowKashida"/>
        <w:rPr>
          <w:rFonts w:cs="Simplified Arabic" w:hint="cs"/>
          <w:sz w:val="32"/>
          <w:szCs w:val="32"/>
          <w:rtl/>
        </w:rPr>
      </w:pPr>
    </w:p>
    <w:p w:rsidR="0083361F" w:rsidRPr="00673A1C" w:rsidRDefault="0083361F" w:rsidP="0083361F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101427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بني</w:t>
      </w:r>
      <w:r>
        <w:rPr>
          <w:rFonts w:cs="Simplified Arabic" w:hint="cs"/>
          <w:sz w:val="32"/>
          <w:szCs w:val="32"/>
          <w:rtl/>
        </w:rPr>
        <w:t>ة القصيدة العربية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83361F" w:rsidRPr="00673A1C" w:rsidRDefault="0083361F" w:rsidP="0083361F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 xml:space="preserve">يتناول هذا المساق بنية القصيدة العربية منذ اول عصورها وتطور هذه البنية عبر العصور وخصائص </w:t>
      </w:r>
    </w:p>
    <w:p w:rsidR="0083361F" w:rsidRPr="00673A1C" w:rsidRDefault="0083361F" w:rsidP="0083361F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هذه البنية في كل عصر ويركز على الاثار العميقة للشعر الحديث على بنية القصيدة.</w:t>
      </w:r>
    </w:p>
    <w:p w:rsidR="00523313" w:rsidRPr="0083361F" w:rsidRDefault="00523313" w:rsidP="0083361F">
      <w:bookmarkStart w:id="0" w:name="_GoBack"/>
      <w:bookmarkEnd w:id="0"/>
    </w:p>
    <w:sectPr w:rsidR="00523313" w:rsidRPr="0083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90619A"/>
    <w:rsid w:val="00AA4475"/>
    <w:rsid w:val="00AD2358"/>
    <w:rsid w:val="00AE1CE8"/>
    <w:rsid w:val="00B92AA2"/>
    <w:rsid w:val="00BB34D7"/>
    <w:rsid w:val="00BE1FC7"/>
    <w:rsid w:val="00C84BF5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50</cp:revision>
  <dcterms:created xsi:type="dcterms:W3CDTF">2018-12-21T20:39:00Z</dcterms:created>
  <dcterms:modified xsi:type="dcterms:W3CDTF">2018-12-21T21:34:00Z</dcterms:modified>
</cp:coreProperties>
</file>